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8269" w14:textId="77777777" w:rsidR="00DF61E5" w:rsidRPr="00544218" w:rsidRDefault="00DF61E5">
      <w:pPr>
        <w:rPr>
          <w:rFonts w:cs="Arial"/>
          <w:szCs w:val="22"/>
        </w:rPr>
      </w:pPr>
    </w:p>
    <w:p w14:paraId="39C970D0" w14:textId="77777777" w:rsidR="007F706B" w:rsidRPr="00544218" w:rsidRDefault="007F706B">
      <w:pPr>
        <w:rPr>
          <w:rFonts w:cs="Arial"/>
          <w:szCs w:val="22"/>
        </w:rPr>
      </w:pPr>
    </w:p>
    <w:p w14:paraId="1087E98A" w14:textId="77777777" w:rsidR="00DF61E5" w:rsidRPr="00544218" w:rsidRDefault="00DF61E5">
      <w:pPr>
        <w:rPr>
          <w:rFonts w:cs="Arial"/>
          <w:szCs w:val="22"/>
        </w:rPr>
      </w:pPr>
    </w:p>
    <w:p w14:paraId="4916FC1E" w14:textId="77777777" w:rsidR="00DF61E5" w:rsidRPr="00544218" w:rsidRDefault="00DF61E5">
      <w:pPr>
        <w:rPr>
          <w:rFonts w:cs="Arial"/>
          <w:szCs w:val="22"/>
        </w:rPr>
      </w:pPr>
    </w:p>
    <w:p w14:paraId="425A2938" w14:textId="0687ECC0" w:rsidR="0005085E" w:rsidRPr="00544218" w:rsidRDefault="0005085E" w:rsidP="0005085E">
      <w:pPr>
        <w:jc w:val="center"/>
        <w:rPr>
          <w:rFonts w:cs="Arial"/>
          <w:b/>
          <w:color w:val="FFFFFF" w:themeColor="background1"/>
          <w:szCs w:val="22"/>
        </w:rPr>
      </w:pPr>
      <w:r w:rsidRPr="00544218">
        <w:rPr>
          <w:rFonts w:cs="Arial"/>
          <w:b/>
          <w:color w:val="FFFFFF" w:themeColor="background1"/>
          <w:szCs w:val="22"/>
        </w:rPr>
        <w:t xml:space="preserve"> </w:t>
      </w:r>
    </w:p>
    <w:p w14:paraId="72A30C86" w14:textId="77777777" w:rsidR="00DF61E5" w:rsidRPr="00544218" w:rsidRDefault="00DF61E5">
      <w:pPr>
        <w:rPr>
          <w:rFonts w:cs="Arial"/>
          <w:szCs w:val="22"/>
        </w:rPr>
      </w:pPr>
    </w:p>
    <w:p w14:paraId="308AC0C9" w14:textId="77777777" w:rsidR="00853287" w:rsidRPr="00544218" w:rsidRDefault="00853287" w:rsidP="000F327C">
      <w:pPr>
        <w:rPr>
          <w:rFonts w:cs="Arial"/>
          <w:szCs w:val="22"/>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088"/>
        <w:gridCol w:w="4191"/>
        <w:gridCol w:w="4179"/>
      </w:tblGrid>
      <w:tr w:rsidR="00666AA7" w:rsidRPr="00544218" w14:paraId="16781501" w14:textId="77777777" w:rsidTr="27DE80A8">
        <w:tc>
          <w:tcPr>
            <w:tcW w:w="2088" w:type="dxa"/>
            <w:tcBorders>
              <w:top w:val="single" w:sz="4" w:space="0" w:color="auto"/>
              <w:bottom w:val="nil"/>
              <w:right w:val="nil"/>
            </w:tcBorders>
          </w:tcPr>
          <w:p w14:paraId="5612A60D" w14:textId="4E13EC9A" w:rsidR="00666AA7" w:rsidRPr="00544218" w:rsidRDefault="00666AA7" w:rsidP="00853287">
            <w:pPr>
              <w:tabs>
                <w:tab w:val="left" w:pos="5892"/>
              </w:tabs>
              <w:rPr>
                <w:rFonts w:cs="Arial"/>
                <w:b/>
                <w:szCs w:val="22"/>
              </w:rPr>
            </w:pPr>
          </w:p>
        </w:tc>
        <w:tc>
          <w:tcPr>
            <w:tcW w:w="4191" w:type="dxa"/>
            <w:tcBorders>
              <w:top w:val="single" w:sz="4" w:space="0" w:color="auto"/>
              <w:left w:val="nil"/>
              <w:bottom w:val="nil"/>
              <w:right w:val="nil"/>
            </w:tcBorders>
          </w:tcPr>
          <w:p w14:paraId="2479220E" w14:textId="77777777" w:rsidR="00666AA7" w:rsidRPr="00611A4E" w:rsidRDefault="00666AA7" w:rsidP="000F327C">
            <w:pPr>
              <w:tabs>
                <w:tab w:val="left" w:pos="5892"/>
              </w:tabs>
              <w:rPr>
                <w:rFonts w:cs="Arial"/>
                <w:i/>
                <w:szCs w:val="22"/>
              </w:rPr>
            </w:pPr>
          </w:p>
        </w:tc>
        <w:tc>
          <w:tcPr>
            <w:tcW w:w="4179" w:type="dxa"/>
            <w:tcBorders>
              <w:top w:val="single" w:sz="4" w:space="0" w:color="auto"/>
              <w:left w:val="nil"/>
              <w:bottom w:val="nil"/>
            </w:tcBorders>
          </w:tcPr>
          <w:p w14:paraId="561C4B0D" w14:textId="77777777" w:rsidR="00666AA7" w:rsidRPr="00544218" w:rsidRDefault="00666AA7" w:rsidP="00853287">
            <w:pPr>
              <w:tabs>
                <w:tab w:val="left" w:pos="5892"/>
              </w:tabs>
              <w:rPr>
                <w:rFonts w:cs="Arial"/>
                <w:b/>
                <w:szCs w:val="22"/>
              </w:rPr>
            </w:pPr>
          </w:p>
        </w:tc>
      </w:tr>
      <w:tr w:rsidR="000F327C" w:rsidRPr="00544218" w14:paraId="4226AFC1" w14:textId="77777777" w:rsidTr="27DE80A8">
        <w:tc>
          <w:tcPr>
            <w:tcW w:w="2088" w:type="dxa"/>
            <w:tcBorders>
              <w:top w:val="nil"/>
              <w:bottom w:val="nil"/>
              <w:right w:val="nil"/>
            </w:tcBorders>
          </w:tcPr>
          <w:p w14:paraId="17CA94B1" w14:textId="070310C1" w:rsidR="000F327C" w:rsidRPr="00544218" w:rsidRDefault="000F327C" w:rsidP="00853287">
            <w:pPr>
              <w:tabs>
                <w:tab w:val="left" w:pos="5892"/>
              </w:tabs>
              <w:rPr>
                <w:rFonts w:cs="Arial"/>
                <w:b/>
                <w:szCs w:val="22"/>
              </w:rPr>
            </w:pPr>
            <w:r w:rsidRPr="00544218">
              <w:rPr>
                <w:rFonts w:cs="Arial"/>
                <w:b/>
                <w:szCs w:val="22"/>
              </w:rPr>
              <w:t>Date:</w:t>
            </w:r>
            <w:r w:rsidR="0005085E" w:rsidRPr="00544218">
              <w:rPr>
                <w:rFonts w:cs="Arial"/>
                <w:b/>
                <w:szCs w:val="22"/>
              </w:rPr>
              <w:t xml:space="preserve"> </w:t>
            </w:r>
          </w:p>
        </w:tc>
        <w:tc>
          <w:tcPr>
            <w:tcW w:w="4191" w:type="dxa"/>
            <w:tcBorders>
              <w:top w:val="nil"/>
              <w:left w:val="nil"/>
              <w:bottom w:val="nil"/>
              <w:right w:val="nil"/>
            </w:tcBorders>
          </w:tcPr>
          <w:p w14:paraId="51B70F29" w14:textId="3650F5F9" w:rsidR="000F327C" w:rsidRPr="00611A4E" w:rsidRDefault="00366259" w:rsidP="00C912D6">
            <w:pPr>
              <w:tabs>
                <w:tab w:val="left" w:pos="5892"/>
              </w:tabs>
              <w:rPr>
                <w:rFonts w:cs="Arial"/>
                <w:szCs w:val="22"/>
              </w:rPr>
            </w:pPr>
            <w:r>
              <w:rPr>
                <w:rFonts w:cs="Arial"/>
                <w:szCs w:val="22"/>
              </w:rPr>
              <w:t>16 October</w:t>
            </w:r>
            <w:r w:rsidR="00CB506F">
              <w:rPr>
                <w:rFonts w:cs="Arial"/>
                <w:szCs w:val="22"/>
              </w:rPr>
              <w:t xml:space="preserve"> 2020</w:t>
            </w:r>
          </w:p>
        </w:tc>
        <w:tc>
          <w:tcPr>
            <w:tcW w:w="4179" w:type="dxa"/>
            <w:tcBorders>
              <w:top w:val="nil"/>
              <w:left w:val="nil"/>
              <w:bottom w:val="nil"/>
            </w:tcBorders>
          </w:tcPr>
          <w:p w14:paraId="76CD6EF5" w14:textId="5CEB6406" w:rsidR="000F327C" w:rsidRPr="00544218" w:rsidRDefault="000F327C" w:rsidP="00C912D6">
            <w:pPr>
              <w:tabs>
                <w:tab w:val="left" w:pos="5892"/>
              </w:tabs>
              <w:rPr>
                <w:rFonts w:cs="Arial"/>
                <w:b/>
                <w:szCs w:val="22"/>
              </w:rPr>
            </w:pPr>
          </w:p>
        </w:tc>
      </w:tr>
      <w:tr w:rsidR="00666AA7" w:rsidRPr="00544218" w14:paraId="7558166B" w14:textId="77777777" w:rsidTr="27DE80A8">
        <w:tc>
          <w:tcPr>
            <w:tcW w:w="2088" w:type="dxa"/>
            <w:tcBorders>
              <w:top w:val="nil"/>
              <w:bottom w:val="nil"/>
              <w:right w:val="nil"/>
            </w:tcBorders>
          </w:tcPr>
          <w:p w14:paraId="6131579A"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3CFA9CA4" w14:textId="77777777" w:rsidR="00666AA7" w:rsidRPr="00544218" w:rsidRDefault="00666AA7" w:rsidP="00853287">
            <w:pPr>
              <w:tabs>
                <w:tab w:val="left" w:pos="5892"/>
              </w:tabs>
              <w:rPr>
                <w:rFonts w:cs="Arial"/>
                <w:szCs w:val="22"/>
              </w:rPr>
            </w:pPr>
          </w:p>
        </w:tc>
      </w:tr>
      <w:tr w:rsidR="000F327C" w:rsidRPr="00544218" w14:paraId="680B8A52" w14:textId="77777777" w:rsidTr="27DE80A8">
        <w:tc>
          <w:tcPr>
            <w:tcW w:w="2088" w:type="dxa"/>
            <w:tcBorders>
              <w:top w:val="nil"/>
              <w:bottom w:val="nil"/>
              <w:right w:val="nil"/>
            </w:tcBorders>
          </w:tcPr>
          <w:p w14:paraId="4F60F4B7" w14:textId="77777777" w:rsidR="000F327C" w:rsidRPr="00544218" w:rsidRDefault="000F327C" w:rsidP="00853287">
            <w:pPr>
              <w:tabs>
                <w:tab w:val="left" w:pos="5892"/>
              </w:tabs>
              <w:rPr>
                <w:rFonts w:cs="Arial"/>
                <w:b/>
                <w:szCs w:val="22"/>
              </w:rPr>
            </w:pPr>
            <w:r w:rsidRPr="00544218">
              <w:rPr>
                <w:rFonts w:cs="Arial"/>
                <w:b/>
                <w:szCs w:val="22"/>
              </w:rPr>
              <w:t>Title</w:t>
            </w:r>
            <w:r w:rsidR="00CB18FE" w:rsidRPr="00544218">
              <w:rPr>
                <w:rFonts w:cs="Arial"/>
                <w:b/>
                <w:szCs w:val="22"/>
              </w:rPr>
              <w:t>:</w:t>
            </w:r>
          </w:p>
        </w:tc>
        <w:tc>
          <w:tcPr>
            <w:tcW w:w="8370" w:type="dxa"/>
            <w:gridSpan w:val="2"/>
            <w:tcBorders>
              <w:top w:val="nil"/>
              <w:left w:val="nil"/>
              <w:bottom w:val="nil"/>
            </w:tcBorders>
          </w:tcPr>
          <w:p w14:paraId="5598F568" w14:textId="21876009" w:rsidR="000F327C" w:rsidRPr="00544218" w:rsidRDefault="005A5BFA" w:rsidP="00511E1A">
            <w:pPr>
              <w:rPr>
                <w:rFonts w:cs="Arial"/>
                <w:szCs w:val="22"/>
              </w:rPr>
            </w:pPr>
            <w:r>
              <w:rPr>
                <w:rFonts w:cs="Arial"/>
                <w:szCs w:val="22"/>
              </w:rPr>
              <w:t>N</w:t>
            </w:r>
            <w:r w:rsidR="009B5A83">
              <w:rPr>
                <w:rFonts w:cs="Arial"/>
                <w:szCs w:val="22"/>
              </w:rPr>
              <w:t xml:space="preserve">ational Fire Chiefs Council </w:t>
            </w:r>
            <w:r w:rsidR="00366259">
              <w:rPr>
                <w:rFonts w:cs="Arial"/>
                <w:szCs w:val="22"/>
              </w:rPr>
              <w:t>update to the</w:t>
            </w:r>
            <w:r w:rsidR="00CB7777">
              <w:rPr>
                <w:rFonts w:cs="Arial"/>
                <w:szCs w:val="22"/>
              </w:rPr>
              <w:t xml:space="preserve"> Fire </w:t>
            </w:r>
            <w:r w:rsidR="00366259">
              <w:rPr>
                <w:rFonts w:cs="Arial"/>
                <w:szCs w:val="22"/>
              </w:rPr>
              <w:t>Service Management Committee</w:t>
            </w:r>
            <w:r w:rsidR="00CB7777">
              <w:rPr>
                <w:rFonts w:cs="Arial"/>
                <w:szCs w:val="22"/>
              </w:rPr>
              <w:t xml:space="preserve"> </w:t>
            </w:r>
          </w:p>
        </w:tc>
      </w:tr>
      <w:tr w:rsidR="009477EC" w:rsidRPr="00544218" w14:paraId="00AF1C42" w14:textId="77777777" w:rsidTr="27DE80A8">
        <w:tc>
          <w:tcPr>
            <w:tcW w:w="2088" w:type="dxa"/>
            <w:tcBorders>
              <w:top w:val="nil"/>
              <w:bottom w:val="nil"/>
              <w:right w:val="nil"/>
            </w:tcBorders>
          </w:tcPr>
          <w:p w14:paraId="1DC64914" w14:textId="77777777" w:rsidR="009477EC" w:rsidRPr="00544218" w:rsidRDefault="009477EC" w:rsidP="00853287">
            <w:pPr>
              <w:tabs>
                <w:tab w:val="left" w:pos="5892"/>
              </w:tabs>
              <w:rPr>
                <w:rFonts w:cs="Arial"/>
                <w:b/>
                <w:szCs w:val="22"/>
              </w:rPr>
            </w:pPr>
          </w:p>
        </w:tc>
        <w:tc>
          <w:tcPr>
            <w:tcW w:w="8370" w:type="dxa"/>
            <w:gridSpan w:val="2"/>
            <w:tcBorders>
              <w:top w:val="nil"/>
              <w:left w:val="nil"/>
              <w:bottom w:val="nil"/>
            </w:tcBorders>
          </w:tcPr>
          <w:p w14:paraId="5AEE3D36" w14:textId="288C496E" w:rsidR="009477EC" w:rsidRPr="00544218" w:rsidRDefault="009477EC" w:rsidP="00853287">
            <w:pPr>
              <w:tabs>
                <w:tab w:val="left" w:pos="5892"/>
              </w:tabs>
              <w:rPr>
                <w:rFonts w:cs="Arial"/>
                <w:szCs w:val="22"/>
              </w:rPr>
            </w:pPr>
          </w:p>
        </w:tc>
      </w:tr>
      <w:tr w:rsidR="009477EC" w:rsidRPr="00544218" w14:paraId="3FDAB837" w14:textId="77777777" w:rsidTr="27DE80A8">
        <w:tc>
          <w:tcPr>
            <w:tcW w:w="2088" w:type="dxa"/>
            <w:tcBorders>
              <w:top w:val="nil"/>
              <w:bottom w:val="nil"/>
              <w:right w:val="nil"/>
            </w:tcBorders>
          </w:tcPr>
          <w:p w14:paraId="58DBC912" w14:textId="77777777" w:rsidR="009477EC" w:rsidRPr="00544218" w:rsidRDefault="009477EC" w:rsidP="00853287">
            <w:pPr>
              <w:tabs>
                <w:tab w:val="left" w:pos="5892"/>
              </w:tabs>
              <w:rPr>
                <w:rFonts w:cs="Arial"/>
                <w:b/>
                <w:szCs w:val="22"/>
              </w:rPr>
            </w:pPr>
            <w:r w:rsidRPr="00544218">
              <w:rPr>
                <w:rFonts w:cs="Arial"/>
                <w:b/>
                <w:szCs w:val="22"/>
              </w:rPr>
              <w:t>Author:</w:t>
            </w:r>
          </w:p>
        </w:tc>
        <w:tc>
          <w:tcPr>
            <w:tcW w:w="8370" w:type="dxa"/>
            <w:gridSpan w:val="2"/>
            <w:tcBorders>
              <w:top w:val="nil"/>
              <w:left w:val="nil"/>
              <w:bottom w:val="nil"/>
            </w:tcBorders>
          </w:tcPr>
          <w:p w14:paraId="02BDA11E" w14:textId="746B3063" w:rsidR="009477EC" w:rsidRPr="00544218" w:rsidRDefault="006C3BC6" w:rsidP="00853287">
            <w:pPr>
              <w:tabs>
                <w:tab w:val="left" w:pos="5892"/>
              </w:tabs>
              <w:rPr>
                <w:rFonts w:cs="Arial"/>
                <w:szCs w:val="22"/>
              </w:rPr>
            </w:pPr>
            <w:r w:rsidRPr="00544218">
              <w:rPr>
                <w:rFonts w:cs="Arial"/>
                <w:szCs w:val="22"/>
              </w:rPr>
              <w:t xml:space="preserve">NFCC </w:t>
            </w:r>
          </w:p>
        </w:tc>
      </w:tr>
      <w:tr w:rsidR="00666AA7" w:rsidRPr="00544218" w14:paraId="033518B4" w14:textId="77777777" w:rsidTr="27DE80A8">
        <w:tc>
          <w:tcPr>
            <w:tcW w:w="2088" w:type="dxa"/>
            <w:tcBorders>
              <w:top w:val="nil"/>
              <w:bottom w:val="nil"/>
              <w:right w:val="nil"/>
            </w:tcBorders>
          </w:tcPr>
          <w:p w14:paraId="44D9F84A"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79170559" w14:textId="77777777" w:rsidR="00666AA7" w:rsidRPr="00544218" w:rsidRDefault="00666AA7" w:rsidP="00853287">
            <w:pPr>
              <w:tabs>
                <w:tab w:val="left" w:pos="5892"/>
              </w:tabs>
              <w:rPr>
                <w:rFonts w:cs="Arial"/>
                <w:szCs w:val="22"/>
              </w:rPr>
            </w:pPr>
          </w:p>
        </w:tc>
      </w:tr>
      <w:tr w:rsidR="000F327C" w:rsidRPr="00544218" w14:paraId="50458205" w14:textId="77777777" w:rsidTr="27DE80A8">
        <w:tc>
          <w:tcPr>
            <w:tcW w:w="2088" w:type="dxa"/>
            <w:tcBorders>
              <w:top w:val="nil"/>
              <w:bottom w:val="nil"/>
              <w:right w:val="nil"/>
            </w:tcBorders>
          </w:tcPr>
          <w:p w14:paraId="27015E20" w14:textId="77777777" w:rsidR="000F327C" w:rsidRPr="00544218" w:rsidRDefault="000F327C" w:rsidP="00853287">
            <w:pPr>
              <w:tabs>
                <w:tab w:val="left" w:pos="5892"/>
              </w:tabs>
              <w:rPr>
                <w:rFonts w:cs="Arial"/>
                <w:b/>
                <w:szCs w:val="22"/>
              </w:rPr>
            </w:pPr>
            <w:r w:rsidRPr="00544218">
              <w:rPr>
                <w:rFonts w:cs="Arial"/>
                <w:b/>
                <w:szCs w:val="22"/>
              </w:rPr>
              <w:t>Presented by:</w:t>
            </w:r>
          </w:p>
        </w:tc>
        <w:tc>
          <w:tcPr>
            <w:tcW w:w="8370" w:type="dxa"/>
            <w:gridSpan w:val="2"/>
            <w:tcBorders>
              <w:top w:val="nil"/>
              <w:left w:val="nil"/>
              <w:bottom w:val="nil"/>
            </w:tcBorders>
          </w:tcPr>
          <w:p w14:paraId="7A84B5F5" w14:textId="17EED653" w:rsidR="00FB5B00" w:rsidRPr="00544218" w:rsidRDefault="00366259" w:rsidP="00853287">
            <w:pPr>
              <w:tabs>
                <w:tab w:val="left" w:pos="5892"/>
              </w:tabs>
              <w:rPr>
                <w:rFonts w:cs="Arial"/>
                <w:szCs w:val="22"/>
              </w:rPr>
            </w:pPr>
            <w:r>
              <w:rPr>
                <w:rFonts w:cs="Arial"/>
                <w:szCs w:val="22"/>
              </w:rPr>
              <w:t>Roy Wilsher</w:t>
            </w:r>
          </w:p>
        </w:tc>
      </w:tr>
      <w:tr w:rsidR="00666AA7" w:rsidRPr="00544218" w14:paraId="49BADAFB" w14:textId="77777777" w:rsidTr="27DE80A8">
        <w:tc>
          <w:tcPr>
            <w:tcW w:w="2088" w:type="dxa"/>
            <w:tcBorders>
              <w:top w:val="nil"/>
              <w:bottom w:val="nil"/>
              <w:right w:val="nil"/>
            </w:tcBorders>
          </w:tcPr>
          <w:p w14:paraId="1599EA23" w14:textId="77777777" w:rsidR="00666AA7" w:rsidRPr="00544218" w:rsidRDefault="00666AA7" w:rsidP="00853287">
            <w:pPr>
              <w:tabs>
                <w:tab w:val="left" w:pos="5892"/>
              </w:tabs>
              <w:rPr>
                <w:rFonts w:cs="Arial"/>
                <w:b/>
                <w:szCs w:val="22"/>
              </w:rPr>
            </w:pPr>
          </w:p>
        </w:tc>
        <w:tc>
          <w:tcPr>
            <w:tcW w:w="8370" w:type="dxa"/>
            <w:gridSpan w:val="2"/>
            <w:tcBorders>
              <w:top w:val="nil"/>
              <w:left w:val="nil"/>
              <w:bottom w:val="nil"/>
            </w:tcBorders>
          </w:tcPr>
          <w:p w14:paraId="4CB7FEE8" w14:textId="77777777" w:rsidR="00666AA7" w:rsidRPr="00544218" w:rsidRDefault="00666AA7" w:rsidP="00853287">
            <w:pPr>
              <w:tabs>
                <w:tab w:val="left" w:pos="5892"/>
              </w:tabs>
              <w:rPr>
                <w:rFonts w:cs="Arial"/>
                <w:szCs w:val="22"/>
              </w:rPr>
            </w:pPr>
          </w:p>
        </w:tc>
      </w:tr>
      <w:tr w:rsidR="000F327C" w:rsidRPr="00544218" w14:paraId="303AAF78" w14:textId="77777777" w:rsidTr="27DE80A8">
        <w:tc>
          <w:tcPr>
            <w:tcW w:w="2088" w:type="dxa"/>
            <w:tcBorders>
              <w:top w:val="nil"/>
              <w:bottom w:val="nil"/>
              <w:right w:val="nil"/>
            </w:tcBorders>
          </w:tcPr>
          <w:p w14:paraId="206F9AB7" w14:textId="3928B7BB" w:rsidR="000F327C" w:rsidRPr="00544218" w:rsidRDefault="000F327C" w:rsidP="27DE80A8">
            <w:pPr>
              <w:tabs>
                <w:tab w:val="left" w:pos="5892"/>
              </w:tabs>
              <w:rPr>
                <w:rFonts w:eastAsia="Arial" w:cs="Arial"/>
                <w:b/>
                <w:bCs/>
              </w:rPr>
            </w:pPr>
            <w:r w:rsidRPr="27DE80A8">
              <w:rPr>
                <w:rFonts w:eastAsia="Arial" w:cs="Arial"/>
                <w:b/>
                <w:bCs/>
              </w:rPr>
              <w:t>For information or decision</w:t>
            </w:r>
            <w:r w:rsidR="00DE484B">
              <w:rPr>
                <w:rFonts w:eastAsia="Arial" w:cs="Arial"/>
                <w:b/>
                <w:bCs/>
              </w:rPr>
              <w:t>:</w:t>
            </w:r>
          </w:p>
        </w:tc>
        <w:tc>
          <w:tcPr>
            <w:tcW w:w="8370" w:type="dxa"/>
            <w:gridSpan w:val="2"/>
            <w:tcBorders>
              <w:top w:val="nil"/>
              <w:left w:val="nil"/>
              <w:bottom w:val="nil"/>
            </w:tcBorders>
          </w:tcPr>
          <w:p w14:paraId="748F158D" w14:textId="2FB17A69" w:rsidR="00EC7020" w:rsidRPr="00544218" w:rsidRDefault="0005085E" w:rsidP="27DE80A8">
            <w:pPr>
              <w:tabs>
                <w:tab w:val="left" w:pos="5892"/>
              </w:tabs>
              <w:rPr>
                <w:rFonts w:eastAsia="Arial" w:cs="Arial"/>
              </w:rPr>
            </w:pPr>
            <w:r w:rsidRPr="27DE80A8">
              <w:rPr>
                <w:rFonts w:eastAsia="Arial" w:cs="Arial"/>
              </w:rPr>
              <w:t xml:space="preserve">For </w:t>
            </w:r>
            <w:r w:rsidR="0042449B" w:rsidRPr="27DE80A8">
              <w:rPr>
                <w:rFonts w:eastAsia="Arial" w:cs="Arial"/>
              </w:rPr>
              <w:t>Information</w:t>
            </w:r>
          </w:p>
        </w:tc>
      </w:tr>
      <w:tr w:rsidR="00C7320C" w:rsidRPr="00544218" w14:paraId="2530C036" w14:textId="77777777" w:rsidTr="27DE80A8">
        <w:tc>
          <w:tcPr>
            <w:tcW w:w="2088" w:type="dxa"/>
            <w:tcBorders>
              <w:top w:val="nil"/>
              <w:bottom w:val="nil"/>
              <w:right w:val="nil"/>
            </w:tcBorders>
          </w:tcPr>
          <w:p w14:paraId="566A6223" w14:textId="77777777" w:rsidR="00C7320C" w:rsidRPr="00544218" w:rsidRDefault="00C7320C" w:rsidP="00853287">
            <w:pPr>
              <w:tabs>
                <w:tab w:val="left" w:pos="5892"/>
              </w:tabs>
              <w:rPr>
                <w:rFonts w:cs="Arial"/>
                <w:b/>
                <w:szCs w:val="22"/>
              </w:rPr>
            </w:pPr>
          </w:p>
        </w:tc>
        <w:tc>
          <w:tcPr>
            <w:tcW w:w="8370" w:type="dxa"/>
            <w:gridSpan w:val="2"/>
            <w:tcBorders>
              <w:top w:val="nil"/>
              <w:left w:val="nil"/>
              <w:bottom w:val="nil"/>
            </w:tcBorders>
          </w:tcPr>
          <w:p w14:paraId="4A43C6DC" w14:textId="77777777" w:rsidR="00C7320C" w:rsidRPr="00544218" w:rsidRDefault="00C7320C" w:rsidP="00853287">
            <w:pPr>
              <w:tabs>
                <w:tab w:val="left" w:pos="5892"/>
              </w:tabs>
              <w:rPr>
                <w:rFonts w:cs="Arial"/>
                <w:szCs w:val="22"/>
              </w:rPr>
            </w:pPr>
          </w:p>
        </w:tc>
      </w:tr>
      <w:tr w:rsidR="00C7320C" w:rsidRPr="00544218" w14:paraId="31FCE6ED" w14:textId="77777777" w:rsidTr="27DE80A8">
        <w:trPr>
          <w:trHeight w:val="79"/>
        </w:trPr>
        <w:tc>
          <w:tcPr>
            <w:tcW w:w="2088" w:type="dxa"/>
            <w:tcBorders>
              <w:top w:val="nil"/>
              <w:bottom w:val="single" w:sz="4" w:space="0" w:color="auto"/>
              <w:right w:val="nil"/>
            </w:tcBorders>
          </w:tcPr>
          <w:p w14:paraId="5A4AACBC" w14:textId="2F126955" w:rsidR="00C7320C" w:rsidRPr="00544218" w:rsidRDefault="00C7320C" w:rsidP="00CB18FE">
            <w:pPr>
              <w:tabs>
                <w:tab w:val="left" w:pos="5892"/>
              </w:tabs>
              <w:rPr>
                <w:rFonts w:cs="Arial"/>
                <w:b/>
                <w:szCs w:val="22"/>
              </w:rPr>
            </w:pPr>
          </w:p>
        </w:tc>
        <w:tc>
          <w:tcPr>
            <w:tcW w:w="8370" w:type="dxa"/>
            <w:gridSpan w:val="2"/>
            <w:tcBorders>
              <w:top w:val="nil"/>
              <w:left w:val="nil"/>
              <w:bottom w:val="single" w:sz="4" w:space="0" w:color="auto"/>
            </w:tcBorders>
          </w:tcPr>
          <w:p w14:paraId="5E0647CA" w14:textId="1733DC29" w:rsidR="00C7320C" w:rsidRPr="00544218" w:rsidRDefault="00C7320C" w:rsidP="00424BB5">
            <w:pPr>
              <w:rPr>
                <w:rFonts w:cs="Arial"/>
                <w:szCs w:val="22"/>
              </w:rPr>
            </w:pPr>
          </w:p>
        </w:tc>
      </w:tr>
    </w:tbl>
    <w:p w14:paraId="7A7C8F4A" w14:textId="36F87666" w:rsidR="003C4CCA" w:rsidRPr="00544218" w:rsidRDefault="003C4CCA" w:rsidP="003C4CCA">
      <w:pPr>
        <w:rPr>
          <w:rFonts w:cs="Arial"/>
          <w:szCs w:val="22"/>
        </w:rPr>
      </w:pPr>
    </w:p>
    <w:p w14:paraId="74E2E744" w14:textId="326CF3A3" w:rsidR="003C4CCA" w:rsidRPr="00F94CEE" w:rsidRDefault="297C3675" w:rsidP="00D83BE0">
      <w:pPr>
        <w:pStyle w:val="ListParagraph"/>
        <w:numPr>
          <w:ilvl w:val="0"/>
          <w:numId w:val="1"/>
        </w:numPr>
        <w:rPr>
          <w:b/>
          <w:bCs/>
          <w:sz w:val="28"/>
          <w:szCs w:val="28"/>
        </w:rPr>
      </w:pPr>
      <w:r w:rsidRPr="00F94CEE">
        <w:rPr>
          <w:b/>
          <w:bCs/>
          <w:sz w:val="24"/>
          <w:szCs w:val="24"/>
        </w:rPr>
        <w:t>Summary</w:t>
      </w:r>
    </w:p>
    <w:p w14:paraId="0174EE01" w14:textId="50E267F7" w:rsidR="00DD65EF" w:rsidRPr="00F94CEE" w:rsidRDefault="00B33AC1" w:rsidP="002C4687">
      <w:pPr>
        <w:pStyle w:val="ListParagraph"/>
        <w:ind w:left="709" w:hanging="709"/>
        <w:rPr>
          <w:b/>
        </w:rPr>
      </w:pPr>
      <w:r w:rsidRPr="00544218">
        <w:t xml:space="preserve">This </w:t>
      </w:r>
      <w:r w:rsidRPr="5499A4BD">
        <w:rPr>
          <w:color w:val="000000" w:themeColor="text1"/>
        </w:rPr>
        <w:t>report</w:t>
      </w:r>
      <w:r w:rsidRPr="00544218">
        <w:t xml:space="preserve"> provides progress updates on the </w:t>
      </w:r>
      <w:r w:rsidR="00284004">
        <w:t>work activity</w:t>
      </w:r>
      <w:r w:rsidR="00284004" w:rsidRPr="00544218">
        <w:t xml:space="preserve"> </w:t>
      </w:r>
      <w:r w:rsidRPr="00544218">
        <w:t>the</w:t>
      </w:r>
      <w:r w:rsidR="002138FF">
        <w:t xml:space="preserve"> National Fire Chiefs Council</w:t>
      </w:r>
      <w:r w:rsidR="00A1289E">
        <w:t xml:space="preserve"> NFCC)</w:t>
      </w:r>
      <w:r w:rsidRPr="00544218">
        <w:t>.</w:t>
      </w:r>
      <w:r w:rsidR="00404D60" w:rsidRPr="00404D60">
        <w:rPr>
          <w:bCs/>
        </w:rPr>
        <w:t xml:space="preserve"> </w:t>
      </w:r>
      <w:r w:rsidR="00B70AFB">
        <w:rPr>
          <w:bCs/>
        </w:rPr>
        <w:t>Each of the</w:t>
      </w:r>
      <w:r w:rsidR="00404D60" w:rsidRPr="00142234">
        <w:rPr>
          <w:bCs/>
        </w:rPr>
        <w:t xml:space="preserve"> sections of this </w:t>
      </w:r>
      <w:r w:rsidR="00404D60">
        <w:rPr>
          <w:bCs/>
        </w:rPr>
        <w:t>report</w:t>
      </w:r>
      <w:r w:rsidR="00404D60" w:rsidRPr="00142234">
        <w:rPr>
          <w:bCs/>
        </w:rPr>
        <w:t xml:space="preserve"> </w:t>
      </w:r>
      <w:r w:rsidR="00404D60" w:rsidRPr="007D45E8">
        <w:rPr>
          <w:bCs/>
        </w:rPr>
        <w:t xml:space="preserve">provide </w:t>
      </w:r>
      <w:r w:rsidR="00404D60">
        <w:rPr>
          <w:bCs/>
        </w:rPr>
        <w:t>updates in relation to the various areas of activity</w:t>
      </w:r>
      <w:r w:rsidR="00B70AFB">
        <w:rPr>
          <w:bCs/>
        </w:rPr>
        <w:t>.</w:t>
      </w:r>
    </w:p>
    <w:p w14:paraId="6D8CD9CB" w14:textId="6001FEAA" w:rsidR="006F4C57" w:rsidRPr="006F4C57" w:rsidRDefault="00EB5636" w:rsidP="006F4C57">
      <w:pPr>
        <w:pStyle w:val="ListParagraph"/>
        <w:numPr>
          <w:ilvl w:val="0"/>
          <w:numId w:val="1"/>
        </w:numPr>
        <w:rPr>
          <w:b/>
          <w:sz w:val="24"/>
          <w:szCs w:val="24"/>
        </w:rPr>
      </w:pPr>
      <w:r>
        <w:rPr>
          <w:b/>
          <w:sz w:val="24"/>
          <w:szCs w:val="24"/>
        </w:rPr>
        <w:t>Content Management</w:t>
      </w:r>
    </w:p>
    <w:p w14:paraId="026FABC1" w14:textId="112415B8" w:rsidR="006F4C57" w:rsidRPr="006F4C57" w:rsidRDefault="006F4C57" w:rsidP="006F4C57">
      <w:pPr>
        <w:pStyle w:val="ListParagraph"/>
        <w:ind w:left="709" w:hanging="709"/>
      </w:pPr>
      <w:r w:rsidRPr="006F4C57">
        <w:t xml:space="preserve">Three pieces of National Operational Guidance </w:t>
      </w:r>
      <w:r w:rsidR="00A1289E">
        <w:t xml:space="preserve">(NOG) </w:t>
      </w:r>
      <w:r w:rsidRPr="006F4C57">
        <w:t>have been published</w:t>
      </w:r>
      <w:r w:rsidR="005A3B35">
        <w:t>:</w:t>
      </w:r>
    </w:p>
    <w:p w14:paraId="111CBB12" w14:textId="77777777" w:rsidR="006F4C57" w:rsidRPr="002F0011" w:rsidRDefault="006F4C57" w:rsidP="00E0765B">
      <w:pPr>
        <w:pStyle w:val="ListParagraph"/>
        <w:widowControl w:val="0"/>
        <w:numPr>
          <w:ilvl w:val="2"/>
          <w:numId w:val="2"/>
        </w:numPr>
        <w:tabs>
          <w:tab w:val="clear" w:pos="709"/>
          <w:tab w:val="left" w:pos="1572"/>
        </w:tabs>
        <w:spacing w:before="120" w:after="120" w:line="264" w:lineRule="auto"/>
        <w:ind w:right="-46"/>
        <w:rPr>
          <w:rFonts w:eastAsia="Arial"/>
        </w:rPr>
      </w:pPr>
      <w:r w:rsidRPr="002F0011">
        <w:rPr>
          <w:i/>
          <w:spacing w:val="-1"/>
        </w:rPr>
        <w:t>Incident command</w:t>
      </w:r>
      <w:r w:rsidRPr="002F0011">
        <w:rPr>
          <w:i/>
          <w:spacing w:val="-2"/>
        </w:rPr>
        <w:t xml:space="preserve"> </w:t>
      </w:r>
      <w:r w:rsidRPr="002F0011">
        <w:rPr>
          <w:i/>
          <w:spacing w:val="-1"/>
        </w:rPr>
        <w:t>(Third</w:t>
      </w:r>
      <w:r w:rsidRPr="002F0011">
        <w:rPr>
          <w:i/>
          <w:spacing w:val="-2"/>
        </w:rPr>
        <w:t xml:space="preserve"> </w:t>
      </w:r>
      <w:r w:rsidRPr="002F0011">
        <w:rPr>
          <w:i/>
          <w:spacing w:val="-1"/>
        </w:rPr>
        <w:t>Edition,</w:t>
      </w:r>
      <w:r w:rsidRPr="002F0011">
        <w:rPr>
          <w:i/>
          <w:spacing w:val="2"/>
        </w:rPr>
        <w:t xml:space="preserve"> </w:t>
      </w:r>
      <w:r w:rsidRPr="002F0011">
        <w:rPr>
          <w:i/>
          <w:spacing w:val="-1"/>
        </w:rPr>
        <w:t>Version One</w:t>
      </w:r>
      <w:r w:rsidRPr="002F0011">
        <w:rPr>
          <w:spacing w:val="-1"/>
        </w:rPr>
        <w:t>)</w:t>
      </w:r>
    </w:p>
    <w:p w14:paraId="16415E9C" w14:textId="77777777" w:rsidR="006F4C57" w:rsidRPr="002F0011" w:rsidRDefault="006F4C57" w:rsidP="00E0765B">
      <w:pPr>
        <w:pStyle w:val="ListParagraph"/>
        <w:widowControl w:val="0"/>
        <w:numPr>
          <w:ilvl w:val="2"/>
          <w:numId w:val="2"/>
        </w:numPr>
        <w:tabs>
          <w:tab w:val="clear" w:pos="709"/>
          <w:tab w:val="left" w:pos="1572"/>
        </w:tabs>
        <w:spacing w:before="120" w:after="120" w:line="264" w:lineRule="auto"/>
        <w:ind w:right="-46"/>
        <w:rPr>
          <w:rFonts w:eastAsia="Arial"/>
        </w:rPr>
      </w:pPr>
      <w:r w:rsidRPr="002F0011">
        <w:rPr>
          <w:i/>
          <w:spacing w:val="-1"/>
        </w:rPr>
        <w:t>Operations</w:t>
      </w:r>
      <w:r w:rsidRPr="002F0011">
        <w:rPr>
          <w:i/>
          <w:spacing w:val="-2"/>
        </w:rPr>
        <w:t xml:space="preserve"> </w:t>
      </w:r>
      <w:r w:rsidRPr="002F0011">
        <w:rPr>
          <w:i/>
          <w:spacing w:val="-1"/>
        </w:rPr>
        <w:t>(Third</w:t>
      </w:r>
      <w:r w:rsidRPr="002F0011">
        <w:rPr>
          <w:i/>
          <w:spacing w:val="1"/>
        </w:rPr>
        <w:t xml:space="preserve"> </w:t>
      </w:r>
      <w:r w:rsidRPr="002F0011">
        <w:rPr>
          <w:i/>
          <w:spacing w:val="-2"/>
        </w:rPr>
        <w:t>Edition,</w:t>
      </w:r>
      <w:r w:rsidRPr="002F0011">
        <w:rPr>
          <w:i/>
          <w:spacing w:val="2"/>
        </w:rPr>
        <w:t xml:space="preserve"> </w:t>
      </w:r>
      <w:r w:rsidRPr="002F0011">
        <w:rPr>
          <w:i/>
          <w:spacing w:val="-1"/>
        </w:rPr>
        <w:t>Version</w:t>
      </w:r>
      <w:r w:rsidRPr="002F0011">
        <w:rPr>
          <w:i/>
        </w:rPr>
        <w:t xml:space="preserve"> </w:t>
      </w:r>
      <w:r w:rsidRPr="002F0011">
        <w:rPr>
          <w:i/>
          <w:spacing w:val="-1"/>
        </w:rPr>
        <w:t>One)</w:t>
      </w:r>
    </w:p>
    <w:p w14:paraId="64D75293" w14:textId="77777777" w:rsidR="006F4C57" w:rsidRPr="002A6EF8" w:rsidRDefault="006F4C57" w:rsidP="00E0765B">
      <w:pPr>
        <w:pStyle w:val="ListParagraph"/>
        <w:widowControl w:val="0"/>
        <w:numPr>
          <w:ilvl w:val="2"/>
          <w:numId w:val="2"/>
        </w:numPr>
        <w:tabs>
          <w:tab w:val="clear" w:pos="709"/>
          <w:tab w:val="left" w:pos="1572"/>
        </w:tabs>
        <w:spacing w:before="120" w:after="120" w:line="264" w:lineRule="auto"/>
        <w:ind w:right="-46"/>
        <w:rPr>
          <w:rFonts w:eastAsia="Arial"/>
        </w:rPr>
      </w:pPr>
      <w:r w:rsidRPr="002F0011">
        <w:rPr>
          <w:i/>
          <w:spacing w:val="-1"/>
        </w:rPr>
        <w:t>Foundation</w:t>
      </w:r>
      <w:r w:rsidRPr="002F0011">
        <w:rPr>
          <w:i/>
        </w:rPr>
        <w:t xml:space="preserve"> </w:t>
      </w:r>
      <w:r w:rsidRPr="002F0011">
        <w:rPr>
          <w:i/>
          <w:spacing w:val="-1"/>
        </w:rPr>
        <w:t>for</w:t>
      </w:r>
      <w:r w:rsidRPr="002F0011">
        <w:rPr>
          <w:i/>
          <w:spacing w:val="3"/>
        </w:rPr>
        <w:t xml:space="preserve"> </w:t>
      </w:r>
      <w:r w:rsidRPr="002F0011">
        <w:rPr>
          <w:i/>
          <w:spacing w:val="-1"/>
        </w:rPr>
        <w:t>Environmental Protection (First</w:t>
      </w:r>
      <w:r w:rsidRPr="002F0011">
        <w:rPr>
          <w:i/>
          <w:spacing w:val="2"/>
        </w:rPr>
        <w:t xml:space="preserve"> </w:t>
      </w:r>
      <w:r w:rsidRPr="002F0011">
        <w:rPr>
          <w:i/>
          <w:spacing w:val="-2"/>
        </w:rPr>
        <w:t>Edition,</w:t>
      </w:r>
      <w:r w:rsidRPr="002F0011">
        <w:rPr>
          <w:i/>
          <w:spacing w:val="2"/>
        </w:rPr>
        <w:t xml:space="preserve"> </w:t>
      </w:r>
      <w:r w:rsidRPr="002F0011">
        <w:rPr>
          <w:i/>
          <w:spacing w:val="-1"/>
        </w:rPr>
        <w:t>Version</w:t>
      </w:r>
      <w:r w:rsidRPr="002F0011">
        <w:rPr>
          <w:i/>
          <w:spacing w:val="-2"/>
        </w:rPr>
        <w:t xml:space="preserve"> </w:t>
      </w:r>
      <w:r w:rsidRPr="002F0011">
        <w:rPr>
          <w:i/>
          <w:spacing w:val="-1"/>
        </w:rPr>
        <w:t>One)</w:t>
      </w:r>
    </w:p>
    <w:p w14:paraId="76C41B10" w14:textId="77777777" w:rsidR="006F4C57" w:rsidRPr="002A6EF8" w:rsidRDefault="006F4C57" w:rsidP="006F4C57">
      <w:pPr>
        <w:pStyle w:val="ListParagraph"/>
        <w:ind w:left="709" w:hanging="709"/>
        <w:rPr>
          <w:spacing w:val="-1"/>
        </w:rPr>
      </w:pPr>
      <w:r>
        <w:rPr>
          <w:spacing w:val="-1"/>
        </w:rPr>
        <w:t>Current guidance reviews include</w:t>
      </w:r>
      <w:r w:rsidRPr="00471168">
        <w:rPr>
          <w:spacing w:val="-1"/>
        </w:rPr>
        <w:t>:</w:t>
      </w:r>
    </w:p>
    <w:p w14:paraId="5C4F3071" w14:textId="77777777" w:rsidR="006F4C57" w:rsidRPr="00246673" w:rsidRDefault="006F4C57" w:rsidP="00E0765B">
      <w:pPr>
        <w:pStyle w:val="ListParagraph"/>
        <w:widowControl w:val="0"/>
        <w:numPr>
          <w:ilvl w:val="2"/>
          <w:numId w:val="2"/>
        </w:numPr>
        <w:tabs>
          <w:tab w:val="clear" w:pos="709"/>
          <w:tab w:val="left" w:pos="1572"/>
        </w:tabs>
        <w:spacing w:before="120" w:after="120" w:line="264" w:lineRule="auto"/>
        <w:ind w:right="-46"/>
        <w:rPr>
          <w:i/>
          <w:spacing w:val="-1"/>
        </w:rPr>
      </w:pPr>
      <w:r w:rsidRPr="00246673">
        <w:rPr>
          <w:iCs/>
          <w:spacing w:val="-1"/>
        </w:rPr>
        <w:t>Review of</w:t>
      </w:r>
      <w:r w:rsidRPr="00246673">
        <w:rPr>
          <w:i/>
          <w:spacing w:val="-1"/>
        </w:rPr>
        <w:t xml:space="preserve"> National Operational Guidance: </w:t>
      </w:r>
      <w:r w:rsidRPr="002F0011">
        <w:rPr>
          <w:i/>
          <w:spacing w:val="-1"/>
        </w:rPr>
        <w:t>Subsurface,</w:t>
      </w:r>
      <w:r w:rsidRPr="00246673">
        <w:rPr>
          <w:i/>
          <w:spacing w:val="-1"/>
        </w:rPr>
        <w:t xml:space="preserve"> </w:t>
      </w:r>
      <w:r w:rsidRPr="002F0011">
        <w:rPr>
          <w:i/>
          <w:spacing w:val="-1"/>
        </w:rPr>
        <w:t>height structures</w:t>
      </w:r>
      <w:r w:rsidRPr="00246673">
        <w:rPr>
          <w:i/>
          <w:spacing w:val="-1"/>
        </w:rPr>
        <w:t xml:space="preserve"> </w:t>
      </w:r>
      <w:r w:rsidRPr="002F0011">
        <w:rPr>
          <w:i/>
          <w:spacing w:val="-1"/>
        </w:rPr>
        <w:t>and</w:t>
      </w:r>
      <w:r w:rsidRPr="00246673">
        <w:rPr>
          <w:i/>
          <w:spacing w:val="-1"/>
        </w:rPr>
        <w:t xml:space="preserve"> </w:t>
      </w:r>
      <w:r w:rsidRPr="002F0011">
        <w:rPr>
          <w:i/>
          <w:spacing w:val="-1"/>
        </w:rPr>
        <w:t>confined</w:t>
      </w:r>
      <w:r w:rsidRPr="00246673">
        <w:rPr>
          <w:i/>
          <w:spacing w:val="-1"/>
        </w:rPr>
        <w:t xml:space="preserve"> </w:t>
      </w:r>
      <w:r w:rsidRPr="002F0011">
        <w:rPr>
          <w:i/>
          <w:spacing w:val="-1"/>
        </w:rPr>
        <w:t>spaces</w:t>
      </w:r>
      <w:r w:rsidRPr="00246673">
        <w:rPr>
          <w:i/>
          <w:spacing w:val="-1"/>
        </w:rPr>
        <w:t xml:space="preserve"> (1</w:t>
      </w:r>
      <w:r w:rsidRPr="00E97D26">
        <w:rPr>
          <w:i/>
          <w:spacing w:val="-1"/>
          <w:vertAlign w:val="superscript"/>
        </w:rPr>
        <w:t>st</w:t>
      </w:r>
      <w:r>
        <w:rPr>
          <w:i/>
          <w:spacing w:val="-1"/>
        </w:rPr>
        <w:t xml:space="preserve"> </w:t>
      </w:r>
      <w:r w:rsidRPr="00246673">
        <w:rPr>
          <w:i/>
          <w:spacing w:val="-1"/>
        </w:rPr>
        <w:t xml:space="preserve">Edition) </w:t>
      </w:r>
      <w:r w:rsidRPr="00E97D26">
        <w:rPr>
          <w:iCs/>
          <w:spacing w:val="-1"/>
        </w:rPr>
        <w:t>Draft completed – expected release for consultation September 2020</w:t>
      </w:r>
    </w:p>
    <w:p w14:paraId="65025429" w14:textId="77777777" w:rsidR="006F4C57" w:rsidRPr="00E97D26" w:rsidRDefault="006F4C57" w:rsidP="00E0765B">
      <w:pPr>
        <w:pStyle w:val="ListParagraph"/>
        <w:widowControl w:val="0"/>
        <w:numPr>
          <w:ilvl w:val="2"/>
          <w:numId w:val="2"/>
        </w:numPr>
        <w:tabs>
          <w:tab w:val="clear" w:pos="709"/>
          <w:tab w:val="left" w:pos="1572"/>
        </w:tabs>
        <w:spacing w:before="120" w:after="120" w:line="264" w:lineRule="auto"/>
        <w:ind w:right="-46"/>
        <w:rPr>
          <w:iCs/>
          <w:spacing w:val="-1"/>
        </w:rPr>
      </w:pPr>
      <w:r w:rsidRPr="00246673">
        <w:rPr>
          <w:iCs/>
          <w:spacing w:val="-1"/>
        </w:rPr>
        <w:t>Review of</w:t>
      </w:r>
      <w:r w:rsidRPr="00246673">
        <w:rPr>
          <w:i/>
          <w:spacing w:val="-1"/>
        </w:rPr>
        <w:t xml:space="preserve"> National Operational Guidance: </w:t>
      </w:r>
      <w:r w:rsidRPr="002F0011">
        <w:rPr>
          <w:i/>
          <w:spacing w:val="-1"/>
        </w:rPr>
        <w:t>Performing rescues</w:t>
      </w:r>
      <w:r w:rsidRPr="00246673">
        <w:rPr>
          <w:i/>
          <w:spacing w:val="-1"/>
        </w:rPr>
        <w:t xml:space="preserve"> (2nd Edition</w:t>
      </w:r>
      <w:r>
        <w:rPr>
          <w:i/>
          <w:spacing w:val="-1"/>
        </w:rPr>
        <w:t xml:space="preserve">). </w:t>
      </w:r>
      <w:r w:rsidRPr="00E97D26">
        <w:rPr>
          <w:iCs/>
          <w:spacing w:val="-1"/>
        </w:rPr>
        <w:t>Draft completed undergoing peer review – expected release for consultation October 2020</w:t>
      </w:r>
    </w:p>
    <w:p w14:paraId="2563A56D" w14:textId="77777777" w:rsidR="006F4C57" w:rsidRPr="00E97D26" w:rsidRDefault="006F4C57" w:rsidP="00E0765B">
      <w:pPr>
        <w:pStyle w:val="ListParagraph"/>
        <w:widowControl w:val="0"/>
        <w:numPr>
          <w:ilvl w:val="2"/>
          <w:numId w:val="2"/>
        </w:numPr>
        <w:tabs>
          <w:tab w:val="clear" w:pos="709"/>
          <w:tab w:val="left" w:pos="1572"/>
        </w:tabs>
        <w:spacing w:before="120" w:after="120" w:line="264" w:lineRule="auto"/>
        <w:ind w:right="-46"/>
        <w:rPr>
          <w:iCs/>
          <w:spacing w:val="-1"/>
        </w:rPr>
      </w:pPr>
      <w:r w:rsidRPr="00246673">
        <w:rPr>
          <w:iCs/>
          <w:spacing w:val="-1"/>
        </w:rPr>
        <w:t xml:space="preserve">Review of </w:t>
      </w:r>
      <w:r w:rsidRPr="00246673">
        <w:rPr>
          <w:i/>
          <w:spacing w:val="-1"/>
        </w:rPr>
        <w:t xml:space="preserve">National Operational Guidance Training specification: Operations (Third Edition, Version one) </w:t>
      </w:r>
      <w:r w:rsidRPr="00E97D26">
        <w:rPr>
          <w:iCs/>
          <w:spacing w:val="-1"/>
        </w:rPr>
        <w:t>Completed submission to Operations Committee September 2020</w:t>
      </w:r>
    </w:p>
    <w:p w14:paraId="17390EBD" w14:textId="57BEFEEC" w:rsidR="006F4C57" w:rsidRPr="004559B6" w:rsidRDefault="006F4C57" w:rsidP="004559B6">
      <w:pPr>
        <w:pStyle w:val="ListParagraph"/>
        <w:ind w:left="709" w:hanging="709"/>
        <w:rPr>
          <w:spacing w:val="-1"/>
        </w:rPr>
      </w:pPr>
      <w:r>
        <w:rPr>
          <w:spacing w:val="-1"/>
        </w:rPr>
        <w:t>A successful Home Office bid coordinated by the NFCC Operational Communications lead Darryl Keen</w:t>
      </w:r>
      <w:r w:rsidR="001D7D44">
        <w:rPr>
          <w:spacing w:val="-1"/>
        </w:rPr>
        <w:t xml:space="preserve"> </w:t>
      </w:r>
      <w:r>
        <w:rPr>
          <w:spacing w:val="-1"/>
        </w:rPr>
        <w:t xml:space="preserve">has been approved and two additional staff have been appointed to provide support </w:t>
      </w:r>
      <w:r w:rsidR="003964AF">
        <w:rPr>
          <w:spacing w:val="-1"/>
        </w:rPr>
        <w:t xml:space="preserve">to fire and rescue services </w:t>
      </w:r>
      <w:r>
        <w:rPr>
          <w:spacing w:val="-1"/>
        </w:rPr>
        <w:t xml:space="preserve">for the Multi Agency Incident Transfer roll out, they will also assist with other communication guidance, training, support and engagement. </w:t>
      </w:r>
    </w:p>
    <w:p w14:paraId="3CE771E9" w14:textId="58FBCAB9" w:rsidR="001318E1" w:rsidRPr="00BE5089" w:rsidRDefault="006F4C57" w:rsidP="00BE5089">
      <w:pPr>
        <w:pStyle w:val="ListParagraph"/>
        <w:ind w:left="709" w:hanging="709"/>
        <w:rPr>
          <w:szCs w:val="28"/>
        </w:rPr>
      </w:pPr>
      <w:r w:rsidRPr="00BE5089">
        <w:rPr>
          <w:szCs w:val="28"/>
        </w:rPr>
        <w:t xml:space="preserve">Fire service manuals are currently being reviewed as part of the ongoing legacy review. Initial review of documents relating to ongoing NOG review work have been completed. </w:t>
      </w:r>
    </w:p>
    <w:p w14:paraId="4AE1960C" w14:textId="7CB2A0D5" w:rsidR="00146123" w:rsidRDefault="00146123" w:rsidP="00146123">
      <w:pPr>
        <w:pStyle w:val="ListParagraph"/>
        <w:numPr>
          <w:ilvl w:val="0"/>
          <w:numId w:val="1"/>
        </w:numPr>
        <w:rPr>
          <w:b/>
          <w:sz w:val="24"/>
          <w:szCs w:val="24"/>
        </w:rPr>
      </w:pPr>
      <w:r w:rsidRPr="00184EA7">
        <w:rPr>
          <w:b/>
          <w:sz w:val="24"/>
          <w:szCs w:val="24"/>
        </w:rPr>
        <w:lastRenderedPageBreak/>
        <w:t>National Operational Learning</w:t>
      </w:r>
    </w:p>
    <w:p w14:paraId="4C93D203" w14:textId="080A8FF6" w:rsidR="004559B6" w:rsidRPr="00471168" w:rsidRDefault="004559B6" w:rsidP="004559B6">
      <w:pPr>
        <w:pStyle w:val="ListParagraph"/>
      </w:pPr>
      <w:r>
        <w:t>National Operational Learning</w:t>
      </w:r>
      <w:r w:rsidR="00D40A2A">
        <w:t xml:space="preserve"> (NOL)</w:t>
      </w:r>
      <w:r>
        <w:t xml:space="preserve"> have received 67 cases since March 2020, following which 45 cases have been submitted to the National Operational Learning User Group</w:t>
      </w:r>
      <w:r w:rsidR="00627AD6">
        <w:t xml:space="preserve"> (NOLUG)</w:t>
      </w:r>
      <w:r>
        <w:t xml:space="preserve">. This has resulted in 24 information notes issued to services and 7 recommendations for changes to NOG. </w:t>
      </w:r>
    </w:p>
    <w:p w14:paraId="7F3F7968" w14:textId="1F190900" w:rsidR="00723795" w:rsidRDefault="00723795" w:rsidP="00723795">
      <w:pPr>
        <w:pStyle w:val="ListParagraph"/>
        <w:numPr>
          <w:ilvl w:val="0"/>
          <w:numId w:val="1"/>
        </w:numPr>
        <w:rPr>
          <w:b/>
          <w:sz w:val="24"/>
          <w:szCs w:val="24"/>
        </w:rPr>
      </w:pPr>
      <w:r w:rsidRPr="00F94CEE">
        <w:rPr>
          <w:b/>
          <w:sz w:val="24"/>
          <w:szCs w:val="24"/>
        </w:rPr>
        <w:t>Community Risk Programme</w:t>
      </w:r>
    </w:p>
    <w:p w14:paraId="669D620B" w14:textId="52BBBF27" w:rsidR="00D93C5D" w:rsidRPr="00E57866" w:rsidRDefault="00D93C5D" w:rsidP="001C2C9C">
      <w:pPr>
        <w:pStyle w:val="ListParagraph"/>
        <w:ind w:left="709" w:hanging="709"/>
      </w:pPr>
      <w:r w:rsidRPr="0062316B">
        <w:t xml:space="preserve">The Community Risk Programme is continuing to make good progress </w:t>
      </w:r>
      <w:r w:rsidR="00643195">
        <w:t>with t</w:t>
      </w:r>
      <w:r w:rsidRPr="0062316B">
        <w:t>he Definition of Risk Project conclud</w:t>
      </w:r>
      <w:r w:rsidR="00643195">
        <w:t>ing</w:t>
      </w:r>
      <w:r w:rsidRPr="0062316B">
        <w:t xml:space="preserve"> its virtual ‘Roadshow’ over the summer</w:t>
      </w:r>
      <w:r>
        <w:t xml:space="preserve"> during which it consulted with </w:t>
      </w:r>
      <w:r w:rsidR="00A1289E">
        <w:t>Fire and Rescue Services (</w:t>
      </w:r>
      <w:r>
        <w:t>FRSs</w:t>
      </w:r>
      <w:r w:rsidR="00A1289E">
        <w:t>)</w:t>
      </w:r>
      <w:r>
        <w:t xml:space="preserve"> to review the draft Conceptualisation of Risk Framework. 47 FRSs signed up to the roadshow and 44 responses were received.</w:t>
      </w:r>
      <w:r w:rsidR="00FA4102">
        <w:t xml:space="preserve"> </w:t>
      </w:r>
      <w:r>
        <w:t>The feedback from Services was largely positive and the framework was approved at Programme Board in July</w:t>
      </w:r>
      <w:r w:rsidR="004447D9">
        <w:t xml:space="preserve"> 2020</w:t>
      </w:r>
      <w:r>
        <w:t>.</w:t>
      </w:r>
    </w:p>
    <w:p w14:paraId="04768551" w14:textId="7CDFB956" w:rsidR="00D93C5D" w:rsidRPr="00D93C5D" w:rsidRDefault="00D93C5D" w:rsidP="00D93C5D">
      <w:pPr>
        <w:pStyle w:val="ListParagraph"/>
        <w:ind w:left="709" w:hanging="709"/>
        <w:rPr>
          <w:rFonts w:eastAsia="Arial"/>
        </w:rPr>
      </w:pPr>
      <w:r w:rsidRPr="008A269D">
        <w:rPr>
          <w:rFonts w:eastAsia="Arial"/>
        </w:rPr>
        <w:t xml:space="preserve">The Home Office </w:t>
      </w:r>
      <w:r w:rsidR="003964AF">
        <w:rPr>
          <w:rFonts w:eastAsia="Arial"/>
        </w:rPr>
        <w:t>has paused</w:t>
      </w:r>
      <w:r w:rsidRPr="008A269D">
        <w:rPr>
          <w:rFonts w:eastAsia="Arial"/>
        </w:rPr>
        <w:t xml:space="preserve"> its work on the revised Economic &amp; Social Cost of Fire </w:t>
      </w:r>
      <w:r w:rsidR="003964AF">
        <w:rPr>
          <w:rFonts w:eastAsia="Arial"/>
        </w:rPr>
        <w:t>whilst Spending Review work is progressed</w:t>
      </w:r>
      <w:r w:rsidRPr="008A269D">
        <w:rPr>
          <w:rFonts w:eastAsia="Arial"/>
        </w:rPr>
        <w:t xml:space="preserve">. </w:t>
      </w:r>
      <w:r w:rsidR="003964AF">
        <w:rPr>
          <w:rFonts w:eastAsia="Arial"/>
        </w:rPr>
        <w:t>Work will start again after the review submission and w</w:t>
      </w:r>
      <w:r w:rsidRPr="008A269D">
        <w:rPr>
          <w:rFonts w:eastAsia="Arial"/>
        </w:rPr>
        <w:t xml:space="preserve">hilst the Home Office has shared its approach to its work, </w:t>
      </w:r>
      <w:r>
        <w:rPr>
          <w:rFonts w:eastAsia="Arial"/>
        </w:rPr>
        <w:t>we are</w:t>
      </w:r>
      <w:r w:rsidRPr="008A269D">
        <w:rPr>
          <w:rFonts w:eastAsia="Arial"/>
        </w:rPr>
        <w:t xml:space="preserve"> yet to receive a completion date for it.</w:t>
      </w:r>
    </w:p>
    <w:p w14:paraId="295B6C04" w14:textId="5E0F7B41" w:rsidR="00C82A62" w:rsidRPr="00BB1F13" w:rsidRDefault="00DD65EF" w:rsidP="00BB1F13">
      <w:pPr>
        <w:pStyle w:val="ListParagraph"/>
        <w:numPr>
          <w:ilvl w:val="0"/>
          <w:numId w:val="1"/>
        </w:numPr>
      </w:pPr>
      <w:r w:rsidRPr="009B419C">
        <w:rPr>
          <w:b/>
          <w:bCs/>
          <w:sz w:val="24"/>
          <w:szCs w:val="24"/>
        </w:rPr>
        <w:t>People Programme</w:t>
      </w:r>
    </w:p>
    <w:p w14:paraId="5D4AE004" w14:textId="159CD568" w:rsidR="00BB1827" w:rsidRPr="00BB1827" w:rsidRDefault="00BB1827" w:rsidP="005F0ED1">
      <w:pPr>
        <w:pStyle w:val="ListParagraph"/>
        <w:ind w:left="709" w:hanging="709"/>
      </w:pPr>
      <w:r>
        <w:t xml:space="preserve">The progression of the Leadership project has run smoothly through COVID-19, with very little disruption. </w:t>
      </w:r>
      <w:r w:rsidR="003964AF">
        <w:t>As part of the improvement money NFCC has secured from the Home Office this year, £250</w:t>
      </w:r>
      <w:r w:rsidR="00A1289E">
        <w:t>,000</w:t>
      </w:r>
      <w:r w:rsidR="003964AF">
        <w:t xml:space="preserve"> has been </w:t>
      </w:r>
      <w:r w:rsidR="00366259">
        <w:t>allocated to</w:t>
      </w:r>
      <w:r w:rsidR="003964AF">
        <w:t xml:space="preserve"> support the project </w:t>
      </w:r>
      <w:r>
        <w:t xml:space="preserve">and this will ensure the project can conduct the necessary research and build capacity to drive the work forwards. </w:t>
      </w:r>
    </w:p>
    <w:p w14:paraId="20ED898B" w14:textId="7B46F414" w:rsidR="00BB1827" w:rsidRPr="00212315" w:rsidRDefault="00BB1827" w:rsidP="00212315">
      <w:pPr>
        <w:pStyle w:val="ListParagraph"/>
        <w:ind w:left="709" w:hanging="709"/>
      </w:pPr>
      <w:r>
        <w:t>The inaugural E</w:t>
      </w:r>
      <w:r w:rsidR="00681368">
        <w:t xml:space="preserve">quality, </w:t>
      </w:r>
      <w:r>
        <w:t>D</w:t>
      </w:r>
      <w:r w:rsidR="00681368">
        <w:t xml:space="preserve">iversity and </w:t>
      </w:r>
      <w:r>
        <w:t>I</w:t>
      </w:r>
      <w:r w:rsidR="00681368">
        <w:t>nclusion</w:t>
      </w:r>
      <w:r w:rsidR="00CA78B0">
        <w:t xml:space="preserve"> (EDI)</w:t>
      </w:r>
      <w:r>
        <w:t xml:space="preserve"> project board meeting took place 3 July 2020. It was agreed to commence consultation on the NFCC People Impact Assessment template which had been developed prior to the project boards establishment. The consultation will also offer access to expertise in undertaking impact assessment for FRSs that </w:t>
      </w:r>
      <w:r w:rsidR="000520A9">
        <w:t>have not</w:t>
      </w:r>
      <w:r>
        <w:t xml:space="preserve"> yet incorporated these processes into their organisations. There was a good uptake from fire </w:t>
      </w:r>
      <w:r w:rsidR="003964AF">
        <w:t xml:space="preserve">and rescue </w:t>
      </w:r>
      <w:r>
        <w:t xml:space="preserve">staff to be a contributor under each work stream. An initial piece of work has commenced to produce </w:t>
      </w:r>
      <w:proofErr w:type="gramStart"/>
      <w:r>
        <w:t>a number of</w:t>
      </w:r>
      <w:proofErr w:type="gramEnd"/>
      <w:r>
        <w:t xml:space="preserve"> Equal Access and Provision of Service documents with the initial focus on BAME, Neurodiversity, LGBTQ+ and </w:t>
      </w:r>
      <w:r w:rsidR="25F61AB1">
        <w:t xml:space="preserve">Gypsy, Traveller and </w:t>
      </w:r>
      <w:r>
        <w:t>Roma groups. It is anticipated the H</w:t>
      </w:r>
      <w:r w:rsidR="00721009">
        <w:t xml:space="preserve">er </w:t>
      </w:r>
      <w:r>
        <w:t>M</w:t>
      </w:r>
      <w:r w:rsidR="00721009">
        <w:t xml:space="preserve">ajesty’s </w:t>
      </w:r>
      <w:r>
        <w:t>I</w:t>
      </w:r>
      <w:r w:rsidR="00721009">
        <w:t xml:space="preserve">nspectorate of </w:t>
      </w:r>
      <w:r>
        <w:t>C</w:t>
      </w:r>
      <w:r w:rsidR="00721009">
        <w:t xml:space="preserve">onstabulary and </w:t>
      </w:r>
      <w:r>
        <w:t>F</w:t>
      </w:r>
      <w:r w:rsidR="00721009">
        <w:t xml:space="preserve">ire and Rescue </w:t>
      </w:r>
      <w:r>
        <w:t>S</w:t>
      </w:r>
      <w:r w:rsidR="00721009">
        <w:t>ervices (HMICFRS)</w:t>
      </w:r>
      <w:r>
        <w:t xml:space="preserve"> will take an interest in FRSs consideration of service delivery to these groups and so these documents should significantly support FRSs in ensuring they arrangements or an action plan in place.</w:t>
      </w:r>
    </w:p>
    <w:p w14:paraId="33C110EC" w14:textId="7A74D56C" w:rsidR="005D4F70" w:rsidRDefault="00C82A62" w:rsidP="00BB1827">
      <w:pPr>
        <w:pStyle w:val="ListParagraph"/>
        <w:ind w:left="709" w:hanging="709"/>
      </w:pPr>
      <w:r>
        <w:t>Following the discussion with C</w:t>
      </w:r>
      <w:r w:rsidR="00721009">
        <w:t xml:space="preserve">hief </w:t>
      </w:r>
      <w:r>
        <w:t>F</w:t>
      </w:r>
      <w:r w:rsidR="00721009">
        <w:t xml:space="preserve">ire </w:t>
      </w:r>
      <w:r>
        <w:t>O</w:t>
      </w:r>
      <w:r w:rsidR="00721009">
        <w:t>fficer</w:t>
      </w:r>
      <w:r>
        <w:t>s in June</w:t>
      </w:r>
      <w:r w:rsidR="003961A4">
        <w:t xml:space="preserve"> 2020</w:t>
      </w:r>
      <w:r>
        <w:t xml:space="preserve"> on the challenges and direction in th</w:t>
      </w:r>
      <w:r w:rsidR="00C31BE7">
        <w:t xml:space="preserve">e </w:t>
      </w:r>
      <w:r>
        <w:t>area</w:t>
      </w:r>
      <w:r w:rsidR="00C31BE7">
        <w:t xml:space="preserve"> of competencies and qualifications</w:t>
      </w:r>
      <w:r>
        <w:t>, the programme ran a survey socialising some problems statements and seeking agreement on the direction required by the project to address these challenges. The results of this survey did indicate a good level of consensus on the matter and these findings support</w:t>
      </w:r>
      <w:r w:rsidR="00F77B27">
        <w:t>ed</w:t>
      </w:r>
      <w:r>
        <w:t xml:space="preserve"> a project scoping meeting </w:t>
      </w:r>
      <w:r w:rsidR="00F77B27">
        <w:t>that took place</w:t>
      </w:r>
      <w:r>
        <w:t xml:space="preserve"> in </w:t>
      </w:r>
      <w:r w:rsidR="00BB1827">
        <w:t>September</w:t>
      </w:r>
      <w:r w:rsidR="00124FC5">
        <w:t xml:space="preserve"> 2020</w:t>
      </w:r>
      <w:r>
        <w:t>.</w:t>
      </w:r>
    </w:p>
    <w:p w14:paraId="6FAAB8D4" w14:textId="7CEFC524" w:rsidR="007B660D" w:rsidRDefault="007B660D" w:rsidP="007B660D">
      <w:pPr>
        <w:pStyle w:val="ListParagraph"/>
        <w:ind w:left="709" w:hanging="709"/>
      </w:pPr>
      <w:r>
        <w:t>Working closely with twenty seven Services, the rep bodies (FBU and FRSA) and the Institute for Apprenticeships and Technical Education the</w:t>
      </w:r>
      <w:r w:rsidR="00C31BE7">
        <w:t xml:space="preserve"> apprenticeship</w:t>
      </w:r>
      <w:r>
        <w:t xml:space="preserve"> project has overseen the review of the Operational Firefighter Apprenticeship ensuring it is mapped to both NOS and NOG, and in line with recommendations for the GTI report. The revised apprenticeship standard will be available for use by November 2020. The funding band for this apprenticeship will also be reviewed in this process. </w:t>
      </w:r>
    </w:p>
    <w:p w14:paraId="03819820" w14:textId="4FCF8047" w:rsidR="007B660D" w:rsidRDefault="007B660D" w:rsidP="007B660D">
      <w:pPr>
        <w:pStyle w:val="ListParagraph"/>
        <w:ind w:left="709" w:hanging="709"/>
      </w:pPr>
      <w:r>
        <w:lastRenderedPageBreak/>
        <w:t xml:space="preserve">The Fire Safety Engineer (degree level) apprenticeship was submitted to </w:t>
      </w:r>
      <w:r w:rsidR="00093EE2">
        <w:t>Institute</w:t>
      </w:r>
      <w:r w:rsidR="004C2E97">
        <w:t xml:space="preserve"> for Apprenticeships and Technical </w:t>
      </w:r>
      <w:r w:rsidR="00093EE2">
        <w:t>Education</w:t>
      </w:r>
      <w:r w:rsidR="004C2E97">
        <w:t xml:space="preserve"> </w:t>
      </w:r>
      <w:r>
        <w:t xml:space="preserve">in July and will be available to use by October 2020. Working closely with the IFE, the apprenticeship trailblazer group have successfully brought the apprenticeship EPA and the Engineering Council requirements together using the Professional discussion element of the apprenticeship EPA to meet the needs of the apprenticeship and the Engineering Council requirements for </w:t>
      </w:r>
      <w:r w:rsidR="00C6564A">
        <w:t>Incorporated Engineer (</w:t>
      </w:r>
      <w:r>
        <w:t>IENG</w:t>
      </w:r>
      <w:r w:rsidR="00C6564A">
        <w:t>)</w:t>
      </w:r>
      <w:r>
        <w:t xml:space="preserve"> membership. </w:t>
      </w:r>
    </w:p>
    <w:p w14:paraId="73D63E45" w14:textId="18A11B3E" w:rsidR="000359ED" w:rsidRDefault="00DD65EF" w:rsidP="00D83BE0">
      <w:pPr>
        <w:pStyle w:val="ListParagraph"/>
        <w:numPr>
          <w:ilvl w:val="0"/>
          <w:numId w:val="1"/>
        </w:numPr>
        <w:rPr>
          <w:b/>
          <w:bCs/>
          <w:sz w:val="24"/>
          <w:szCs w:val="24"/>
        </w:rPr>
      </w:pPr>
      <w:r w:rsidRPr="00F94CEE">
        <w:rPr>
          <w:b/>
          <w:bCs/>
          <w:sz w:val="24"/>
          <w:szCs w:val="24"/>
        </w:rPr>
        <w:t>Digital and Data Programme</w:t>
      </w:r>
    </w:p>
    <w:p w14:paraId="232F4226" w14:textId="050E9057" w:rsidR="009B419C" w:rsidRPr="006F630C" w:rsidRDefault="009B419C" w:rsidP="009B419C">
      <w:pPr>
        <w:pStyle w:val="ListParagraph"/>
        <w:ind w:left="709" w:hanging="709"/>
        <w:rPr>
          <w:b/>
          <w:bCs/>
        </w:rPr>
      </w:pPr>
      <w:r>
        <w:rPr>
          <w:lang w:eastAsia="en-GB"/>
        </w:rPr>
        <w:t xml:space="preserve">The revised </w:t>
      </w:r>
      <w:r w:rsidR="000842BA">
        <w:rPr>
          <w:lang w:eastAsia="en-GB"/>
        </w:rPr>
        <w:t xml:space="preserve">Digital and Data </w:t>
      </w:r>
      <w:r>
        <w:rPr>
          <w:lang w:eastAsia="en-GB"/>
        </w:rPr>
        <w:t xml:space="preserve">strategy has been approved and will soon be published on ukfrs.com. </w:t>
      </w:r>
    </w:p>
    <w:p w14:paraId="71267A00" w14:textId="5FC55A00" w:rsidR="009B419C" w:rsidRDefault="0075576A" w:rsidP="009B419C">
      <w:pPr>
        <w:pStyle w:val="ListParagraph"/>
        <w:ind w:left="709" w:hanging="709"/>
        <w:rPr>
          <w:lang w:eastAsia="en-GB"/>
        </w:rPr>
      </w:pPr>
      <w:r>
        <w:rPr>
          <w:lang w:eastAsia="en-GB"/>
        </w:rPr>
        <w:t>A key area of current focus is t</w:t>
      </w:r>
      <w:r w:rsidR="009B419C">
        <w:rPr>
          <w:lang w:eastAsia="en-GB"/>
        </w:rPr>
        <w:t xml:space="preserve">he </w:t>
      </w:r>
      <w:r w:rsidR="006D4382">
        <w:rPr>
          <w:lang w:eastAsia="en-GB"/>
        </w:rPr>
        <w:t>new n</w:t>
      </w:r>
      <w:r w:rsidR="009B419C">
        <w:rPr>
          <w:lang w:eastAsia="en-GB"/>
        </w:rPr>
        <w:t xml:space="preserve">ational </w:t>
      </w:r>
      <w:r w:rsidR="006D4382">
        <w:rPr>
          <w:lang w:eastAsia="en-GB"/>
        </w:rPr>
        <w:t>d</w:t>
      </w:r>
      <w:r w:rsidR="009B419C">
        <w:rPr>
          <w:lang w:eastAsia="en-GB"/>
        </w:rPr>
        <w:t xml:space="preserve">ata </w:t>
      </w:r>
      <w:r w:rsidR="006D4382">
        <w:rPr>
          <w:lang w:eastAsia="en-GB"/>
        </w:rPr>
        <w:t>h</w:t>
      </w:r>
      <w:r w:rsidR="009B419C">
        <w:rPr>
          <w:lang w:eastAsia="en-GB"/>
        </w:rPr>
        <w:t xml:space="preserve">ub </w:t>
      </w:r>
      <w:r w:rsidR="00AC7CD3">
        <w:rPr>
          <w:lang w:eastAsia="en-GB"/>
        </w:rPr>
        <w:t xml:space="preserve">which is </w:t>
      </w:r>
      <w:r w:rsidR="009B419C">
        <w:rPr>
          <w:lang w:eastAsia="en-GB"/>
        </w:rPr>
        <w:t xml:space="preserve">proposed to consist of a centralised approach to governance, collation and analytics of data that will include: </w:t>
      </w:r>
    </w:p>
    <w:p w14:paraId="6C2335CD" w14:textId="77777777" w:rsidR="009B419C" w:rsidRDefault="009B419C" w:rsidP="009B419C">
      <w:pPr>
        <w:pStyle w:val="ListParagraph"/>
        <w:numPr>
          <w:ilvl w:val="2"/>
          <w:numId w:val="1"/>
        </w:numPr>
        <w:rPr>
          <w:lang w:eastAsia="en-GB"/>
        </w:rPr>
      </w:pPr>
      <w:r>
        <w:rPr>
          <w:lang w:eastAsia="en-GB"/>
        </w:rPr>
        <w:t>A scalable technical solution that will standardise the way that data can be shared, accessed and interrogated</w:t>
      </w:r>
    </w:p>
    <w:p w14:paraId="1DD3F794" w14:textId="77777777" w:rsidR="009B419C" w:rsidRDefault="009B419C" w:rsidP="009B419C">
      <w:pPr>
        <w:pStyle w:val="ListParagraph"/>
        <w:numPr>
          <w:ilvl w:val="2"/>
          <w:numId w:val="1"/>
        </w:numPr>
        <w:rPr>
          <w:lang w:eastAsia="en-GB"/>
        </w:rPr>
      </w:pPr>
      <w:r>
        <w:rPr>
          <w:lang w:eastAsia="en-GB"/>
        </w:rPr>
        <w:t>A central analytics function working across the NFCC portfolio to identify, specify, capture and aggregate relevant local datasets at the national level, providing analysis to determine trends and insight that informs local and national decision making</w:t>
      </w:r>
    </w:p>
    <w:p w14:paraId="67CDB737" w14:textId="77777777" w:rsidR="009B419C" w:rsidRDefault="009B419C" w:rsidP="009B419C">
      <w:pPr>
        <w:pStyle w:val="ListParagraph"/>
        <w:numPr>
          <w:ilvl w:val="2"/>
          <w:numId w:val="1"/>
        </w:numPr>
        <w:rPr>
          <w:lang w:eastAsia="en-GB"/>
        </w:rPr>
      </w:pPr>
      <w:r>
        <w:rPr>
          <w:lang w:eastAsia="en-GB"/>
        </w:rPr>
        <w:t>A common approach to data governance</w:t>
      </w:r>
    </w:p>
    <w:p w14:paraId="7DE4E830" w14:textId="4D5D8CD0" w:rsidR="009B419C" w:rsidRDefault="009B419C" w:rsidP="009B419C">
      <w:pPr>
        <w:pStyle w:val="ListParagraph"/>
        <w:ind w:left="709" w:hanging="709"/>
        <w:rPr>
          <w:lang w:eastAsia="en-GB"/>
        </w:rPr>
      </w:pPr>
      <w:r>
        <w:rPr>
          <w:lang w:eastAsia="en-GB"/>
        </w:rPr>
        <w:t>The pandemic presented an opportunity to streamline the way in which COVID-19 data is collected, interrogated and accessed, and is serving as a discrete case study to test the proof of concept. By end of September</w:t>
      </w:r>
      <w:r w:rsidR="004D5BCA">
        <w:rPr>
          <w:lang w:eastAsia="en-GB"/>
        </w:rPr>
        <w:t xml:space="preserve"> 2020</w:t>
      </w:r>
      <w:r>
        <w:rPr>
          <w:lang w:eastAsia="en-GB"/>
        </w:rPr>
        <w:t>, all COVID-19 data collection will be funnelled through the platform</w:t>
      </w:r>
      <w:r w:rsidR="00136351">
        <w:rPr>
          <w:lang w:eastAsia="en-GB"/>
        </w:rPr>
        <w:t xml:space="preserve"> which leverage</w:t>
      </w:r>
      <w:r w:rsidR="00523C78">
        <w:rPr>
          <w:lang w:eastAsia="en-GB"/>
        </w:rPr>
        <w:t>s</w:t>
      </w:r>
      <w:r w:rsidR="00136351">
        <w:rPr>
          <w:lang w:eastAsia="en-GB"/>
        </w:rPr>
        <w:t xml:space="preserve"> existing FRS technology to prove the concept.</w:t>
      </w:r>
      <w:r w:rsidR="00523C78">
        <w:rPr>
          <w:lang w:eastAsia="en-GB"/>
        </w:rPr>
        <w:t xml:space="preserve"> </w:t>
      </w:r>
      <w:r>
        <w:rPr>
          <w:lang w:eastAsia="en-GB"/>
        </w:rPr>
        <w:t xml:space="preserve">This will reduce the burden on local data teams, standardise data entry, provide a single national view of the landscape, and provide common BI dashboards for all stakeholders to access the data. </w:t>
      </w:r>
    </w:p>
    <w:p w14:paraId="1289FA2D" w14:textId="77777777" w:rsidR="009B419C" w:rsidRPr="00E35D4C" w:rsidRDefault="009B419C" w:rsidP="009B419C">
      <w:pPr>
        <w:pStyle w:val="ListParagraph"/>
        <w:ind w:left="709" w:hanging="709"/>
        <w:rPr>
          <w:lang w:eastAsia="en-GB"/>
        </w:rPr>
      </w:pPr>
      <w:r w:rsidRPr="00E35D4C">
        <w:rPr>
          <w:lang w:eastAsia="en-GB"/>
        </w:rPr>
        <w:t xml:space="preserve">Building on the investment, success and functionality of the web platform and cloud database developed for National Operational Guidance, ukfrs.com </w:t>
      </w:r>
      <w:r>
        <w:rPr>
          <w:lang w:eastAsia="en-GB"/>
        </w:rPr>
        <w:t>has now</w:t>
      </w:r>
      <w:r w:rsidRPr="00E35D4C">
        <w:rPr>
          <w:lang w:eastAsia="en-GB"/>
        </w:rPr>
        <w:t xml:space="preserve"> be</w:t>
      </w:r>
      <w:r>
        <w:rPr>
          <w:lang w:eastAsia="en-GB"/>
        </w:rPr>
        <w:t>en</w:t>
      </w:r>
      <w:r w:rsidRPr="00E35D4C">
        <w:rPr>
          <w:lang w:eastAsia="en-GB"/>
        </w:rPr>
        <w:t xml:space="preserve"> developed to become the main hub for all products established through the NFCC portfolio. </w:t>
      </w:r>
      <w:r>
        <w:rPr>
          <w:lang w:eastAsia="en-GB"/>
        </w:rPr>
        <w:t xml:space="preserve">The main homepage now serves as a hub to access all available products, currently categorised by programme. </w:t>
      </w:r>
    </w:p>
    <w:p w14:paraId="274DD89B" w14:textId="77777777" w:rsidR="00212DE4" w:rsidRPr="00EC04E9" w:rsidRDefault="00212DE4" w:rsidP="00212DE4">
      <w:pPr>
        <w:pStyle w:val="ListParagraph"/>
        <w:numPr>
          <w:ilvl w:val="0"/>
          <w:numId w:val="1"/>
        </w:numPr>
        <w:rPr>
          <w:b/>
          <w:sz w:val="24"/>
          <w:szCs w:val="24"/>
        </w:rPr>
      </w:pPr>
      <w:r w:rsidRPr="00EC04E9">
        <w:rPr>
          <w:b/>
          <w:sz w:val="24"/>
          <w:szCs w:val="24"/>
        </w:rPr>
        <w:t>Prevention Programme</w:t>
      </w:r>
    </w:p>
    <w:p w14:paraId="707B761E" w14:textId="407559B2" w:rsidR="00212DE4" w:rsidRPr="00233ACC" w:rsidRDefault="00212DE4" w:rsidP="00212DE4">
      <w:pPr>
        <w:pStyle w:val="ListParagraph"/>
        <w:ind w:left="709" w:hanging="709"/>
        <w:rPr>
          <w:szCs w:val="28"/>
        </w:rPr>
      </w:pPr>
      <w:r>
        <w:rPr>
          <w:rFonts w:eastAsia="Times New Roman"/>
        </w:rPr>
        <w:t xml:space="preserve">With uplift funding from the Home Office secured, scoping of the Prevention Programme will now begin. </w:t>
      </w:r>
    </w:p>
    <w:p w14:paraId="1500AC59" w14:textId="77777777" w:rsidR="00212DE4" w:rsidRPr="00271EB7" w:rsidRDefault="00212DE4" w:rsidP="00212DE4">
      <w:pPr>
        <w:pStyle w:val="ListParagraph"/>
        <w:numPr>
          <w:ilvl w:val="0"/>
          <w:numId w:val="1"/>
        </w:numPr>
        <w:rPr>
          <w:b/>
          <w:bCs/>
          <w:sz w:val="24"/>
          <w:szCs w:val="24"/>
        </w:rPr>
      </w:pPr>
      <w:r w:rsidRPr="00271EB7">
        <w:rPr>
          <w:b/>
          <w:bCs/>
          <w:sz w:val="24"/>
          <w:szCs w:val="24"/>
        </w:rPr>
        <w:t xml:space="preserve">Building Safety Programme </w:t>
      </w:r>
    </w:p>
    <w:p w14:paraId="29E7FFCE" w14:textId="1C9541F7" w:rsidR="00212DE4" w:rsidRDefault="00212DE4" w:rsidP="00212DE4">
      <w:pPr>
        <w:pStyle w:val="ListParagraph"/>
        <w:ind w:left="709" w:hanging="709"/>
        <w:rPr>
          <w:szCs w:val="28"/>
        </w:rPr>
      </w:pPr>
      <w:r>
        <w:rPr>
          <w:szCs w:val="28"/>
        </w:rPr>
        <w:t xml:space="preserve">The </w:t>
      </w:r>
      <w:r w:rsidR="003964AF">
        <w:rPr>
          <w:szCs w:val="28"/>
        </w:rPr>
        <w:t xml:space="preserve">NFCC </w:t>
      </w:r>
      <w:r w:rsidR="00796F23">
        <w:rPr>
          <w:szCs w:val="28"/>
        </w:rPr>
        <w:t>Building Safety Programme (</w:t>
      </w:r>
      <w:r>
        <w:rPr>
          <w:szCs w:val="28"/>
        </w:rPr>
        <w:t>BSP</w:t>
      </w:r>
      <w:r w:rsidR="00796F23">
        <w:rPr>
          <w:szCs w:val="28"/>
        </w:rPr>
        <w:t>)</w:t>
      </w:r>
      <w:r>
        <w:rPr>
          <w:szCs w:val="28"/>
        </w:rPr>
        <w:t xml:space="preserve"> Team have reviewed both the </w:t>
      </w:r>
      <w:hyperlink r:id="rId11" w:history="1">
        <w:r w:rsidR="00333F40" w:rsidRPr="00BB033B">
          <w:rPr>
            <w:rStyle w:val="Hyperlink"/>
            <w:bCs/>
          </w:rPr>
          <w:t>Fire Safety Consultation</w:t>
        </w:r>
      </w:hyperlink>
      <w:r>
        <w:rPr>
          <w:szCs w:val="28"/>
        </w:rPr>
        <w:t xml:space="preserve"> and draft</w:t>
      </w:r>
      <w:r w:rsidR="00D25CEF">
        <w:rPr>
          <w:szCs w:val="28"/>
        </w:rPr>
        <w:t xml:space="preserve"> Building Safety Bill </w:t>
      </w:r>
      <w:r>
        <w:rPr>
          <w:szCs w:val="28"/>
        </w:rPr>
        <w:t>in depth and are working towards submissions on behalf of NFCC. To this end, the Team organised a series of eight workshops to run from 12 August to 2 September 2020 to brief FRS staff on the content of the documents, what this could mean for FRSs, and to gather views and discussion from attendees which can then be used to inform the final submission</w:t>
      </w:r>
      <w:r w:rsidR="00333F40">
        <w:rPr>
          <w:szCs w:val="28"/>
        </w:rPr>
        <w:t xml:space="preserve"> with</w:t>
      </w:r>
      <w:r>
        <w:rPr>
          <w:szCs w:val="28"/>
        </w:rPr>
        <w:t xml:space="preserve"> over 45 different FRSs </w:t>
      </w:r>
      <w:r w:rsidR="00333F40">
        <w:rPr>
          <w:szCs w:val="28"/>
        </w:rPr>
        <w:t>participating</w:t>
      </w:r>
      <w:r>
        <w:rPr>
          <w:szCs w:val="28"/>
        </w:rPr>
        <w:t>.</w:t>
      </w:r>
    </w:p>
    <w:p w14:paraId="444D5A2D" w14:textId="4B2AAA7B" w:rsidR="00212DE4" w:rsidRPr="00AE19C6" w:rsidRDefault="00212DE4" w:rsidP="00212DE4">
      <w:pPr>
        <w:pStyle w:val="ListParagraph"/>
        <w:ind w:left="709" w:hanging="709"/>
        <w:rPr>
          <w:szCs w:val="28"/>
        </w:rPr>
      </w:pPr>
      <w:r>
        <w:rPr>
          <w:szCs w:val="28"/>
        </w:rPr>
        <w:lastRenderedPageBreak/>
        <w:t xml:space="preserve">Whilst the Team </w:t>
      </w:r>
      <w:r>
        <w:t>are largely pleased with the proposals contained in the Fire Safety Consultation,</w:t>
      </w:r>
      <w:r w:rsidRPr="00E13DCB">
        <w:t xml:space="preserve"> </w:t>
      </w:r>
      <w:r>
        <w:t xml:space="preserve">we will be continuing to work alongside colleagues in the Home Office Fire Safety Unit to ensure additional improvements from FRSs are included and remaining issues are ironed out. Furthermore, </w:t>
      </w:r>
      <w:r w:rsidR="003964AF">
        <w:t>NFCC believes</w:t>
      </w:r>
      <w:r>
        <w:t xml:space="preserve"> that the Building Safety Bill is not strong enough in its current form, especially due to the continuation of non-worsening provisions, which still have not been </w:t>
      </w:r>
      <w:bookmarkStart w:id="0" w:name="_GoBack"/>
      <w:bookmarkEnd w:id="0"/>
      <w:r>
        <w:t>addressed despite being raised in Dame Judith’s Interim Report in 2017.</w:t>
      </w:r>
    </w:p>
    <w:p w14:paraId="0E1BAFC6" w14:textId="5EFD5377" w:rsidR="00B45F86" w:rsidRPr="00500D20" w:rsidRDefault="003964AF" w:rsidP="00500D20">
      <w:pPr>
        <w:pStyle w:val="ListParagraph"/>
        <w:ind w:left="709" w:hanging="709"/>
        <w:rPr>
          <w:szCs w:val="28"/>
        </w:rPr>
      </w:pPr>
      <w:r>
        <w:rPr>
          <w:szCs w:val="28"/>
        </w:rPr>
        <w:t>NFCC</w:t>
      </w:r>
      <w:r w:rsidR="00212DE4">
        <w:rPr>
          <w:szCs w:val="28"/>
        </w:rPr>
        <w:t xml:space="preserve"> coordinat</w:t>
      </w:r>
      <w:r w:rsidR="00215322">
        <w:rPr>
          <w:szCs w:val="28"/>
        </w:rPr>
        <w:t>ed</w:t>
      </w:r>
      <w:r w:rsidR="00212DE4">
        <w:rPr>
          <w:szCs w:val="28"/>
        </w:rPr>
        <w:t xml:space="preserve"> the second review of the </w:t>
      </w:r>
      <w:r w:rsidR="00212DE4" w:rsidRPr="00A027B8">
        <w:rPr>
          <w:i/>
          <w:iCs/>
          <w:szCs w:val="28"/>
        </w:rPr>
        <w:t>Guidance: to support a temporary change to a simultaneous evacuation strategy in purpose-built blocks of flats</w:t>
      </w:r>
      <w:r w:rsidR="00212DE4" w:rsidRPr="00A027B8">
        <w:rPr>
          <w:szCs w:val="28"/>
        </w:rPr>
        <w:t>.</w:t>
      </w:r>
      <w:r w:rsidR="00500D20">
        <w:rPr>
          <w:szCs w:val="28"/>
        </w:rPr>
        <w:t xml:space="preserve"> </w:t>
      </w:r>
      <w:r w:rsidR="00212DE4" w:rsidRPr="00500D20">
        <w:rPr>
          <w:szCs w:val="28"/>
        </w:rPr>
        <w:t xml:space="preserve">The revised version of the guidance </w:t>
      </w:r>
      <w:r w:rsidR="00215322">
        <w:rPr>
          <w:szCs w:val="28"/>
        </w:rPr>
        <w:t>was published at the start of October 2020 and was</w:t>
      </w:r>
      <w:r w:rsidR="00212DE4" w:rsidRPr="00500D20">
        <w:rPr>
          <w:szCs w:val="28"/>
        </w:rPr>
        <w:t xml:space="preserve"> joint badged with other stakeholder organisations, </w:t>
      </w:r>
      <w:r w:rsidR="00D25CEF">
        <w:rPr>
          <w:szCs w:val="28"/>
        </w:rPr>
        <w:t xml:space="preserve">following an </w:t>
      </w:r>
      <w:r w:rsidR="00045350" w:rsidRPr="00500D20">
        <w:rPr>
          <w:rFonts w:eastAsia="Times New Roman"/>
          <w:lang w:eastAsia="en-GB"/>
        </w:rPr>
        <w:t>extended consultation with leaseholder groups and other stakeholders in the wider fire sector</w:t>
      </w:r>
      <w:r w:rsidR="00500D20" w:rsidRPr="00500D20">
        <w:rPr>
          <w:rFonts w:eastAsia="Times New Roman"/>
          <w:lang w:eastAsia="en-GB"/>
        </w:rPr>
        <w:t>.</w:t>
      </w:r>
    </w:p>
    <w:p w14:paraId="4C9C6CEC" w14:textId="3777E5E1" w:rsidR="00212DE4" w:rsidRPr="00A97AAD" w:rsidRDefault="009C2667" w:rsidP="00354B20">
      <w:pPr>
        <w:pStyle w:val="ListParagraph"/>
        <w:ind w:left="709" w:hanging="709"/>
        <w:rPr>
          <w:szCs w:val="28"/>
        </w:rPr>
      </w:pPr>
      <w:r w:rsidRPr="00A97AAD">
        <w:rPr>
          <w:szCs w:val="28"/>
        </w:rPr>
        <w:t xml:space="preserve">Over </w:t>
      </w:r>
      <w:r w:rsidR="003964AF">
        <w:rPr>
          <w:szCs w:val="28"/>
        </w:rPr>
        <w:t xml:space="preserve">the </w:t>
      </w:r>
      <w:r w:rsidRPr="00A97AAD">
        <w:rPr>
          <w:szCs w:val="28"/>
        </w:rPr>
        <w:t xml:space="preserve">summer the </w:t>
      </w:r>
      <w:r w:rsidR="003964AF">
        <w:rPr>
          <w:szCs w:val="28"/>
        </w:rPr>
        <w:t>NFCC</w:t>
      </w:r>
      <w:r w:rsidR="009B5624">
        <w:rPr>
          <w:szCs w:val="28"/>
        </w:rPr>
        <w:t xml:space="preserve">, following further financial support from government, the </w:t>
      </w:r>
      <w:r w:rsidR="009A3855" w:rsidRPr="00A97AAD">
        <w:rPr>
          <w:szCs w:val="28"/>
        </w:rPr>
        <w:t xml:space="preserve">Protection Policy and Reform Unit has been recruiting to build the team </w:t>
      </w:r>
      <w:r w:rsidR="00A97AAD">
        <w:rPr>
          <w:szCs w:val="28"/>
        </w:rPr>
        <w:t>i</w:t>
      </w:r>
      <w:r w:rsidR="00212DE4" w:rsidRPr="00A97AAD">
        <w:rPr>
          <w:szCs w:val="28"/>
        </w:rPr>
        <w:t>n a variety of areas, including fire safety regulations, communications, data management and analytics, governance, and service delivery and improvement.</w:t>
      </w:r>
      <w:r w:rsidR="00A97AAD">
        <w:rPr>
          <w:szCs w:val="28"/>
        </w:rPr>
        <w:t xml:space="preserve"> Further recruitment is planned for Autumn 2020.</w:t>
      </w:r>
    </w:p>
    <w:p w14:paraId="4C785357" w14:textId="716DB90A" w:rsidR="00212DE4" w:rsidRPr="000D502F" w:rsidRDefault="00212DE4" w:rsidP="00212DE4">
      <w:pPr>
        <w:pStyle w:val="ListParagraph"/>
        <w:ind w:left="709" w:hanging="709"/>
        <w:rPr>
          <w:szCs w:val="28"/>
        </w:rPr>
      </w:pPr>
      <w:r w:rsidRPr="0078175A">
        <w:rPr>
          <w:szCs w:val="28"/>
        </w:rPr>
        <w:t>Following launch</w:t>
      </w:r>
      <w:r w:rsidR="00CC2F63">
        <w:rPr>
          <w:szCs w:val="28"/>
        </w:rPr>
        <w:t xml:space="preserve"> of the next phase of the </w:t>
      </w:r>
      <w:r w:rsidR="00CC2F63" w:rsidRPr="000E7189">
        <w:rPr>
          <w:szCs w:val="28"/>
        </w:rPr>
        <w:t>Building Risk Review (BRR),</w:t>
      </w:r>
      <w:r w:rsidRPr="0078175A">
        <w:rPr>
          <w:szCs w:val="28"/>
        </w:rPr>
        <w:t xml:space="preserve"> the BSP Team held a question and answer session with over 70 attendees from almost 40 different English FRSs, and have established a dedicated BRR Workplace group and email inbox to ensure smooth and consistent communication and engagement with FRS Protection departments for the duration of the BRR Programme.</w:t>
      </w:r>
    </w:p>
    <w:p w14:paraId="35DB9857" w14:textId="77777777" w:rsidR="00212DE4" w:rsidRPr="0078175A" w:rsidRDefault="00212DE4" w:rsidP="00212DE4">
      <w:pPr>
        <w:rPr>
          <w:b/>
          <w:bCs/>
        </w:rPr>
      </w:pPr>
      <w:r w:rsidRPr="0078175A">
        <w:rPr>
          <w:b/>
          <w:bCs/>
        </w:rPr>
        <w:t>DYHPG Guide</w:t>
      </w:r>
    </w:p>
    <w:p w14:paraId="447014B3" w14:textId="298C5DEC" w:rsidR="00212DE4" w:rsidRPr="00384C5A" w:rsidRDefault="00212DE4" w:rsidP="00212DE4">
      <w:pPr>
        <w:pStyle w:val="ListParagraph"/>
        <w:ind w:left="709" w:hanging="709"/>
        <w:rPr>
          <w:szCs w:val="28"/>
        </w:rPr>
      </w:pPr>
      <w:r>
        <w:rPr>
          <w:szCs w:val="28"/>
        </w:rPr>
        <w:t xml:space="preserve">In order to address the rise in shared economy tourism and accommodation letting websites, such as Airbnb, the </w:t>
      </w:r>
      <w:r w:rsidR="008C092B">
        <w:rPr>
          <w:szCs w:val="28"/>
        </w:rPr>
        <w:t>“</w:t>
      </w:r>
      <w:r w:rsidRPr="0078175A">
        <w:rPr>
          <w:szCs w:val="28"/>
        </w:rPr>
        <w:t>Do you have paying guests</w:t>
      </w:r>
      <w:r w:rsidR="008C092B">
        <w:rPr>
          <w:szCs w:val="28"/>
        </w:rPr>
        <w:t>”</w:t>
      </w:r>
      <w:r w:rsidRPr="0078175A">
        <w:rPr>
          <w:szCs w:val="28"/>
        </w:rPr>
        <w:t xml:space="preserve"> guide</w:t>
      </w:r>
      <w:r>
        <w:rPr>
          <w:szCs w:val="28"/>
        </w:rPr>
        <w:t xml:space="preserve"> has been reviewed to</w:t>
      </w:r>
      <w:r w:rsidRPr="00384C5A">
        <w:rPr>
          <w:szCs w:val="28"/>
        </w:rPr>
        <w:t xml:space="preserve"> introduce a new Fire Safety Standard. </w:t>
      </w:r>
      <w:r>
        <w:rPr>
          <w:szCs w:val="28"/>
        </w:rPr>
        <w:t>This has sought to equalise the fire safety requirements expected of traditional accommodation and of lettings by newer companies such as Airbnb.</w:t>
      </w:r>
    </w:p>
    <w:p w14:paraId="1AD701BA" w14:textId="16503761" w:rsidR="00212DE4" w:rsidRPr="00BB1F13" w:rsidRDefault="00212DE4" w:rsidP="00212DE4">
      <w:pPr>
        <w:pStyle w:val="ListParagraph"/>
        <w:ind w:left="709" w:hanging="709"/>
        <w:rPr>
          <w:b/>
        </w:rPr>
      </w:pPr>
      <w:r w:rsidRPr="0078175A">
        <w:rPr>
          <w:szCs w:val="28"/>
        </w:rPr>
        <w:t>Th</w:t>
      </w:r>
      <w:r w:rsidR="00144005">
        <w:rPr>
          <w:szCs w:val="28"/>
        </w:rPr>
        <w:t xml:space="preserve">e </w:t>
      </w:r>
      <w:r w:rsidR="002E204A">
        <w:rPr>
          <w:szCs w:val="28"/>
        </w:rPr>
        <w:t>“Do you have paying guests”</w:t>
      </w:r>
      <w:r w:rsidRPr="0078175A">
        <w:rPr>
          <w:szCs w:val="28"/>
        </w:rPr>
        <w:t xml:space="preserve"> guide </w:t>
      </w:r>
      <w:r w:rsidR="002E204A">
        <w:rPr>
          <w:szCs w:val="28"/>
        </w:rPr>
        <w:t xml:space="preserve">has been reviewed to introduce the new Fire Safety Standard and </w:t>
      </w:r>
      <w:r w:rsidRPr="0078175A">
        <w:rPr>
          <w:szCs w:val="28"/>
        </w:rPr>
        <w:t xml:space="preserve">urges pragmatism and proportionality, </w:t>
      </w:r>
      <w:r w:rsidR="00C5046C">
        <w:rPr>
          <w:szCs w:val="28"/>
        </w:rPr>
        <w:t xml:space="preserve">and the </w:t>
      </w:r>
      <w:r w:rsidRPr="0078175A">
        <w:rPr>
          <w:szCs w:val="28"/>
        </w:rPr>
        <w:t xml:space="preserve">launch </w:t>
      </w:r>
      <w:r w:rsidR="00C5046C">
        <w:rPr>
          <w:szCs w:val="28"/>
        </w:rPr>
        <w:t xml:space="preserve">is </w:t>
      </w:r>
      <w:r w:rsidRPr="0078175A">
        <w:rPr>
          <w:szCs w:val="28"/>
        </w:rPr>
        <w:t>currently planned for autumn 2020.</w:t>
      </w:r>
    </w:p>
    <w:p w14:paraId="5E98A4EC" w14:textId="61772C74" w:rsidR="00BB1F13" w:rsidRDefault="00BB1F13" w:rsidP="00BB1F13">
      <w:pPr>
        <w:rPr>
          <w:b/>
        </w:rPr>
      </w:pPr>
    </w:p>
    <w:p w14:paraId="29A5CA85" w14:textId="77777777" w:rsidR="00BE5089" w:rsidRPr="00BE5089" w:rsidRDefault="00BE5089" w:rsidP="00BE5089">
      <w:pPr>
        <w:pStyle w:val="ListParagraph"/>
        <w:numPr>
          <w:ilvl w:val="0"/>
          <w:numId w:val="1"/>
        </w:numPr>
        <w:rPr>
          <w:b/>
          <w:bCs/>
        </w:rPr>
      </w:pPr>
      <w:r w:rsidRPr="00BE5089">
        <w:rPr>
          <w:b/>
          <w:bCs/>
        </w:rPr>
        <w:t>The National Fire Commercial Transformation Programme</w:t>
      </w:r>
    </w:p>
    <w:p w14:paraId="432E4944" w14:textId="756C538E" w:rsidR="00BE5089" w:rsidRPr="00B01449" w:rsidRDefault="00BE5089" w:rsidP="00B01449">
      <w:pPr>
        <w:pStyle w:val="ListParagraph"/>
        <w:rPr>
          <w:rFonts w:ascii="Calibri" w:hAnsi="Calibri"/>
        </w:rPr>
      </w:pPr>
      <w:r>
        <w:t>The National Fire Commercial Transformation Programme (NFCTP) Procurement Hub is focussed on delivering the best commercial outcome for the c£500</w:t>
      </w:r>
      <w:r w:rsidR="008C092B">
        <w:t xml:space="preserve"> </w:t>
      </w:r>
      <w:r>
        <w:t>m</w:t>
      </w:r>
      <w:r w:rsidR="00DE243C">
        <w:t>illion</w:t>
      </w:r>
      <w:r>
        <w:t xml:space="preserve"> annual third party influential spend.  </w:t>
      </w:r>
      <w:r w:rsidRPr="00BE5089">
        <w:t xml:space="preserve">Total savings reported for </w:t>
      </w:r>
      <w:r w:rsidR="00DE243C">
        <w:t>financial year</w:t>
      </w:r>
      <w:r w:rsidRPr="00BE5089">
        <w:t xml:space="preserve"> </w:t>
      </w:r>
      <w:r w:rsidR="00DE243C">
        <w:t>20</w:t>
      </w:r>
      <w:r w:rsidRPr="00BE5089">
        <w:t>19/20 is £12.9</w:t>
      </w:r>
      <w:r w:rsidR="00DE243C">
        <w:t xml:space="preserve"> </w:t>
      </w:r>
      <w:r w:rsidRPr="00BE5089">
        <w:t>m</w:t>
      </w:r>
      <w:r w:rsidR="00DE243C">
        <w:t>illion</w:t>
      </w:r>
      <w:r w:rsidRPr="00BE5089">
        <w:t>, of which, £3.23</w:t>
      </w:r>
      <w:r w:rsidR="00DE243C">
        <w:t xml:space="preserve"> </w:t>
      </w:r>
      <w:r w:rsidRPr="00BE5089">
        <w:t>m</w:t>
      </w:r>
      <w:r w:rsidR="00DE243C">
        <w:t>illion</w:t>
      </w:r>
      <w:r w:rsidRPr="00BE5089">
        <w:t xml:space="preserve"> is reported as collaborative savings.  Overall, we have achieved £39.9</w:t>
      </w:r>
      <w:r w:rsidR="00DE243C">
        <w:t xml:space="preserve"> </w:t>
      </w:r>
      <w:r w:rsidRPr="00BE5089">
        <w:t>m</w:t>
      </w:r>
      <w:r w:rsidR="00DE243C">
        <w:t>illion</w:t>
      </w:r>
      <w:r w:rsidRPr="00BE5089">
        <w:t xml:space="preserve"> savings over 3 years through improved commercial approach. </w:t>
      </w:r>
    </w:p>
    <w:p w14:paraId="3F3E846B" w14:textId="6B5B47DB" w:rsidR="00BE5089" w:rsidRDefault="00196263" w:rsidP="00BE5089">
      <w:pPr>
        <w:pStyle w:val="ListParagraph"/>
      </w:pPr>
      <w:r>
        <w:t xml:space="preserve">The </w:t>
      </w:r>
      <w:r w:rsidR="00BE5089" w:rsidRPr="00BE5089">
        <w:t>C</w:t>
      </w:r>
      <w:r w:rsidR="00DE243C">
        <w:t>OVID</w:t>
      </w:r>
      <w:r w:rsidR="00BE5089" w:rsidRPr="00BE5089">
        <w:t xml:space="preserve">-19 response </w:t>
      </w:r>
      <w:r>
        <w:t>was</w:t>
      </w:r>
      <w:r w:rsidR="00BE5089" w:rsidRPr="00BE5089">
        <w:t xml:space="preserve"> the first time we have seen 100</w:t>
      </w:r>
      <w:r w:rsidR="00111A79">
        <w:t xml:space="preserve"> per cent</w:t>
      </w:r>
      <w:r w:rsidR="00BE5089" w:rsidRPr="00BE5089">
        <w:t xml:space="preserve"> collaboration across the </w:t>
      </w:r>
      <w:r w:rsidR="00111A79">
        <w:t>s</w:t>
      </w:r>
      <w:r w:rsidR="00BE5089" w:rsidRPr="00BE5089">
        <w:t xml:space="preserve">ector </w:t>
      </w:r>
      <w:r>
        <w:t xml:space="preserve">in terms of procurement </w:t>
      </w:r>
      <w:r w:rsidR="00BE5089" w:rsidRPr="00BE5089">
        <w:t xml:space="preserve">and </w:t>
      </w:r>
      <w:r>
        <w:t xml:space="preserve">it is the NFCC’s </w:t>
      </w:r>
      <w:r w:rsidR="00BE5089" w:rsidRPr="00BE5089">
        <w:t>intention is to build on this success going forward.</w:t>
      </w:r>
    </w:p>
    <w:p w14:paraId="0BA75FAE" w14:textId="3B322F08" w:rsidR="00BE5089" w:rsidRDefault="00BE5089" w:rsidP="00BE5089">
      <w:pPr>
        <w:pStyle w:val="ListParagraph"/>
      </w:pPr>
      <w:r w:rsidRPr="00BE5089">
        <w:t xml:space="preserve">We now have sector led and specific commercial arrangements covering the majority of expenditure in two of our key ‘Fire’ specific categories of expenditure – these being national arrangements for Firefighting (structural) PPE, with c30,000 </w:t>
      </w:r>
      <w:r w:rsidR="00111A79">
        <w:t>firefighter</w:t>
      </w:r>
      <w:r w:rsidR="00757BF0">
        <w:t>s</w:t>
      </w:r>
      <w:r w:rsidRPr="00BE5089">
        <w:t xml:space="preserve"> wearing the standard kit &amp; Workwear (‘Clothing’ Category) and Emergency Response Vehicles (‘Fleet’ Category), with all FRS signed up to the framework and over 600 vehicles in the pipeline.</w:t>
      </w:r>
    </w:p>
    <w:p w14:paraId="4FFD2FD4" w14:textId="150A6D5A" w:rsidR="00BE5089" w:rsidRPr="00BE5089" w:rsidRDefault="00BE5089" w:rsidP="00BE5089">
      <w:pPr>
        <w:pStyle w:val="ListParagraph"/>
        <w:rPr>
          <w:rFonts w:eastAsia="Times New Roman"/>
        </w:rPr>
      </w:pPr>
      <w:r w:rsidRPr="00BE5089">
        <w:lastRenderedPageBreak/>
        <w:t xml:space="preserve">We are currently engaging with both FRS’s and our sectors supply base for a number of other </w:t>
      </w:r>
      <w:proofErr w:type="gramStart"/>
      <w:r w:rsidRPr="00BE5089">
        <w:t>high profile</w:t>
      </w:r>
      <w:proofErr w:type="gramEnd"/>
      <w:r w:rsidRPr="00BE5089">
        <w:t xml:space="preserve"> national procurements including but not limited to Emergency Response Equipment and Specialist PPE.  In addition, we have completed </w:t>
      </w:r>
      <w:proofErr w:type="gramStart"/>
      <w:r w:rsidRPr="00BE5089">
        <w:t>a number of</w:t>
      </w:r>
      <w:proofErr w:type="gramEnd"/>
      <w:r w:rsidRPr="00BE5089">
        <w:t xml:space="preserve"> sector wide aggregated</w:t>
      </w:r>
      <w:r>
        <w:rPr>
          <w:rFonts w:eastAsia="Times New Roman"/>
        </w:rPr>
        <w:t xml:space="preserve"> procurements within the ICT and Fleet categories and realised significant benefits in terms of efficiency (i.e. less duplication, increased standardisation) and cashable savings. This includes a recent aggregated procurement for Fuel Cards across all three Emergency Services and smoke alarms, which has delivered £2.47</w:t>
      </w:r>
      <w:r w:rsidR="00757BF0">
        <w:rPr>
          <w:rFonts w:eastAsia="Times New Roman"/>
        </w:rPr>
        <w:t xml:space="preserve"> </w:t>
      </w:r>
      <w:r>
        <w:rPr>
          <w:rFonts w:eastAsia="Times New Roman"/>
        </w:rPr>
        <w:t>m</w:t>
      </w:r>
      <w:r w:rsidR="00757BF0">
        <w:rPr>
          <w:rFonts w:eastAsia="Times New Roman"/>
        </w:rPr>
        <w:t>illion</w:t>
      </w:r>
      <w:r>
        <w:rPr>
          <w:rFonts w:eastAsia="Times New Roman"/>
        </w:rPr>
        <w:t xml:space="preserve"> savings for a majority of the </w:t>
      </w:r>
      <w:r w:rsidR="00757BF0">
        <w:rPr>
          <w:rFonts w:eastAsia="Times New Roman"/>
        </w:rPr>
        <w:t>s</w:t>
      </w:r>
      <w:r>
        <w:rPr>
          <w:rFonts w:eastAsia="Times New Roman"/>
        </w:rPr>
        <w:t>ector against £12</w:t>
      </w:r>
      <w:r w:rsidR="00757BF0">
        <w:rPr>
          <w:rFonts w:eastAsia="Times New Roman"/>
        </w:rPr>
        <w:t xml:space="preserve"> </w:t>
      </w:r>
      <w:r>
        <w:rPr>
          <w:rFonts w:eastAsia="Times New Roman"/>
        </w:rPr>
        <w:t>m</w:t>
      </w:r>
      <w:r w:rsidR="00757BF0">
        <w:rPr>
          <w:rFonts w:eastAsia="Times New Roman"/>
        </w:rPr>
        <w:t>illion</w:t>
      </w:r>
      <w:r>
        <w:rPr>
          <w:rFonts w:eastAsia="Times New Roman"/>
        </w:rPr>
        <w:t xml:space="preserve"> spend.  </w:t>
      </w:r>
    </w:p>
    <w:p w14:paraId="6D6F1407" w14:textId="77777777" w:rsidR="007D2489" w:rsidRDefault="001E76BE" w:rsidP="007D2489">
      <w:pPr>
        <w:pStyle w:val="ListParagraph"/>
      </w:pPr>
      <w:r>
        <w:t xml:space="preserve">The NFCC </w:t>
      </w:r>
      <w:r w:rsidR="00585288">
        <w:t xml:space="preserve">is now represented </w:t>
      </w:r>
      <w:r w:rsidR="00BE5089" w:rsidRPr="00BE5089">
        <w:t>at the newly formed National Fire Estates Group, which follows in the success of the Police equivalent to deliver, where feasible, standardised approach to design and facilities management.</w:t>
      </w:r>
    </w:p>
    <w:p w14:paraId="5AFC1D66" w14:textId="513B8951" w:rsidR="00212DE4" w:rsidRPr="007D2489" w:rsidRDefault="007D2489" w:rsidP="007D2489">
      <w:pPr>
        <w:pStyle w:val="ListParagraph"/>
      </w:pPr>
      <w:r>
        <w:t xml:space="preserve">Through the hub the NFCC </w:t>
      </w:r>
      <w:r w:rsidR="00BE5089" w:rsidRPr="00BE5089">
        <w:t>ha</w:t>
      </w:r>
      <w:r>
        <w:t>s</w:t>
      </w:r>
      <w:r w:rsidR="00BE5089" w:rsidRPr="00BE5089">
        <w:t xml:space="preserve"> established better ways of sharing information about what we spend and who we spend it with, providing useful intelligence to prioritise activities and identify common interests both at local/regional and national level.  In addition, we share the same platform and have national data sharing agreements in place with the Police which enables the identification of potential cross emergency services collaboration opportunities.</w:t>
      </w:r>
    </w:p>
    <w:sectPr w:rsidR="00212DE4" w:rsidRPr="007D2489" w:rsidSect="005A3B35">
      <w:headerReference w:type="default" r:id="rId12"/>
      <w:footerReference w:type="default" r:id="rId13"/>
      <w:headerReference w:type="first" r:id="rId14"/>
      <w:footerReference w:type="first" r:id="rId15"/>
      <w:pgSz w:w="11900" w:h="16840"/>
      <w:pgMar w:top="1559" w:right="851" w:bottom="1418" w:left="851" w:header="709" w:footer="7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3AF90" w14:textId="77777777" w:rsidR="00802028" w:rsidRDefault="00802028">
      <w:r>
        <w:separator/>
      </w:r>
    </w:p>
  </w:endnote>
  <w:endnote w:type="continuationSeparator" w:id="0">
    <w:p w14:paraId="38D93DCA" w14:textId="77777777" w:rsidR="00802028" w:rsidRDefault="00802028">
      <w:r>
        <w:continuationSeparator/>
      </w:r>
    </w:p>
  </w:endnote>
  <w:endnote w:type="continuationNotice" w:id="1">
    <w:p w14:paraId="64E5A78E" w14:textId="77777777" w:rsidR="00802028" w:rsidRDefault="00802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CB0C" w14:textId="02F6ACD4" w:rsidR="002B2207" w:rsidRDefault="002B2207" w:rsidP="00853287">
    <w:pPr>
      <w:pStyle w:val="Footer"/>
      <w:tabs>
        <w:tab w:val="clear" w:pos="4320"/>
        <w:tab w:val="clear" w:pos="8640"/>
        <w:tab w:val="center" w:pos="5103"/>
        <w:tab w:val="right" w:pos="10206"/>
      </w:tabs>
      <w:rPr>
        <w:color w:val="999999"/>
      </w:rPr>
    </w:pPr>
    <w:r>
      <w:rPr>
        <w:noProof/>
        <w:color w:val="999999"/>
        <w:lang w:eastAsia="en-GB"/>
      </w:rPr>
      <mc:AlternateContent>
        <mc:Choice Requires="wps">
          <w:drawing>
            <wp:anchor distT="4294967295" distB="4294967295" distL="114300" distR="114300" simplePos="0" relativeHeight="251646976" behindDoc="0" locked="0" layoutInCell="1" allowOverlap="1" wp14:anchorId="1899AD8D" wp14:editId="316F887E">
              <wp:simplePos x="0" y="0"/>
              <wp:positionH relativeFrom="column">
                <wp:posOffset>-31750</wp:posOffset>
              </wp:positionH>
              <wp:positionV relativeFrom="paragraph">
                <wp:posOffset>-89536</wp:posOffset>
              </wp:positionV>
              <wp:extent cx="6515100" cy="0"/>
              <wp:effectExtent l="0" t="0" r="1905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FE819" id="Line 54" o:spid="_x0000_s1026" style="position:absolute;flip:y;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" strokecolor="#a5a5a5" strokeweight=".5pt">
              <v:shadow opacity="22938f" offset="0"/>
            </v:line>
          </w:pict>
        </mc:Fallback>
      </mc:AlternateContent>
    </w: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E720FB">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E720FB">
      <w:rPr>
        <w:noProof/>
        <w:color w:val="999999"/>
      </w:rPr>
      <w:t>8</w:t>
    </w:r>
    <w:r w:rsidRPr="00AB2E51">
      <w:rPr>
        <w:color w:val="999999"/>
      </w:rPr>
      <w:fldChar w:fldCharType="end"/>
    </w:r>
    <w:r>
      <w:rPr>
        <w:color w:val="999999"/>
      </w:rPr>
      <w:tab/>
      <w:t xml:space="preserve">     </w:t>
    </w:r>
    <w:r w:rsidR="001811CE">
      <w:rPr>
        <w:color w:val="999999"/>
      </w:rPr>
      <w:tab/>
    </w:r>
    <w:r w:rsidR="00F77B27">
      <w:rPr>
        <w:color w:val="999999"/>
      </w:rPr>
      <w:t>Octob</w:t>
    </w:r>
    <w:r w:rsidR="001811CE">
      <w:rPr>
        <w:color w:val="999999"/>
      </w:rPr>
      <w:t>er 2020</w:t>
    </w:r>
  </w:p>
  <w:p w14:paraId="5619D31B" w14:textId="7488714D" w:rsidR="001811CE" w:rsidRPr="0090442D" w:rsidRDefault="001811CE" w:rsidP="00853287">
    <w:pPr>
      <w:pStyle w:val="Footer"/>
      <w:tabs>
        <w:tab w:val="clear" w:pos="4320"/>
        <w:tab w:val="clear" w:pos="8640"/>
        <w:tab w:val="center" w:pos="5103"/>
        <w:tab w:val="right" w:pos="10206"/>
      </w:tabs>
      <w:rPr>
        <w:color w:val="999999"/>
      </w:rPr>
    </w:pPr>
    <w:r>
      <w:rPr>
        <w:noProof/>
        <w:lang w:eastAsia="en-GB"/>
      </w:rPr>
      <w:drawing>
        <wp:anchor distT="0" distB="0" distL="114300" distR="114300" simplePos="0" relativeHeight="251682816" behindDoc="0" locked="0" layoutInCell="1" allowOverlap="1" wp14:anchorId="0CE6D05D" wp14:editId="78548E03">
          <wp:simplePos x="0" y="0"/>
          <wp:positionH relativeFrom="column">
            <wp:posOffset>-34925</wp:posOffset>
          </wp:positionH>
          <wp:positionV relativeFrom="paragraph">
            <wp:posOffset>187325</wp:posOffset>
          </wp:positionV>
          <wp:extent cx="6475730" cy="355855"/>
          <wp:effectExtent l="0" t="0" r="127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355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A3DD" w14:textId="6E530BC0" w:rsidR="007C27E0" w:rsidRDefault="002B2207" w:rsidP="00853287">
    <w:pPr>
      <w:pStyle w:val="Footer"/>
      <w:tabs>
        <w:tab w:val="clear" w:pos="4320"/>
        <w:tab w:val="clear" w:pos="8640"/>
        <w:tab w:val="center" w:pos="5103"/>
        <w:tab w:val="right" w:pos="10206"/>
      </w:tabs>
      <w:rPr>
        <w:color w:val="999999"/>
      </w:rPr>
    </w:pPr>
    <w:r>
      <w:rPr>
        <w:noProof/>
        <w:color w:val="999999"/>
        <w:lang w:eastAsia="en-GB"/>
      </w:rPr>
      <mc:AlternateContent>
        <mc:Choice Requires="wps">
          <w:drawing>
            <wp:anchor distT="4294967295" distB="4294967295" distL="114300" distR="114300" simplePos="0" relativeHeight="251656192" behindDoc="0" locked="0" layoutInCell="1" allowOverlap="1" wp14:anchorId="7B5EC600" wp14:editId="07CDAF84">
              <wp:simplePos x="0" y="0"/>
              <wp:positionH relativeFrom="column">
                <wp:posOffset>-31750</wp:posOffset>
              </wp:positionH>
              <wp:positionV relativeFrom="paragraph">
                <wp:posOffset>-89536</wp:posOffset>
              </wp:positionV>
              <wp:extent cx="6515100" cy="0"/>
              <wp:effectExtent l="0" t="0" r="19050" b="190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C7F37" id="Line 5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" strokecolor="#a5a5a5" strokeweight=".5pt">
              <v:shadow opacity="22938f" offset="0"/>
            </v:line>
          </w:pict>
        </mc:Fallback>
      </mc:AlternateContent>
    </w: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E720FB">
      <w:rPr>
        <w:noProof/>
        <w:color w:val="999999"/>
      </w:rPr>
      <w:t>1</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E720FB">
      <w:rPr>
        <w:noProof/>
        <w:color w:val="999999"/>
      </w:rPr>
      <w:t>8</w:t>
    </w:r>
    <w:r w:rsidRPr="00AB2E51">
      <w:rPr>
        <w:color w:val="999999"/>
      </w:rPr>
      <w:fldChar w:fldCharType="end"/>
    </w:r>
    <w:r w:rsidRPr="00AB2E51">
      <w:rPr>
        <w:color w:val="999999"/>
      </w:rPr>
      <w:tab/>
    </w:r>
    <w:r w:rsidR="007C27E0">
      <w:rPr>
        <w:color w:val="999999"/>
      </w:rPr>
      <w:tab/>
    </w:r>
    <w:r w:rsidR="00366259">
      <w:rPr>
        <w:color w:val="999999"/>
      </w:rPr>
      <w:t>October</w:t>
    </w:r>
    <w:r w:rsidR="00FD009F">
      <w:rPr>
        <w:color w:val="999999"/>
      </w:rPr>
      <w:t xml:space="preserve"> 2020</w:t>
    </w:r>
  </w:p>
  <w:p w14:paraId="518B9981" w14:textId="0907DA06" w:rsidR="002B2207" w:rsidRPr="0090442D" w:rsidRDefault="00FD009F" w:rsidP="00853287">
    <w:pPr>
      <w:pStyle w:val="Footer"/>
      <w:tabs>
        <w:tab w:val="clear" w:pos="4320"/>
        <w:tab w:val="clear" w:pos="8640"/>
        <w:tab w:val="center" w:pos="5103"/>
        <w:tab w:val="right" w:pos="10206"/>
      </w:tabs>
      <w:rPr>
        <w:color w:val="999999"/>
      </w:rPr>
    </w:pPr>
    <w:r>
      <w:rPr>
        <w:noProof/>
        <w:lang w:eastAsia="en-GB"/>
      </w:rPr>
      <w:drawing>
        <wp:anchor distT="0" distB="0" distL="114300" distR="114300" simplePos="0" relativeHeight="251693056" behindDoc="0" locked="0" layoutInCell="1" allowOverlap="1" wp14:anchorId="4DA8F108" wp14:editId="65E6FCD4">
          <wp:simplePos x="0" y="0"/>
          <wp:positionH relativeFrom="column">
            <wp:posOffset>-29845</wp:posOffset>
          </wp:positionH>
          <wp:positionV relativeFrom="paragraph">
            <wp:posOffset>327025</wp:posOffset>
          </wp:positionV>
          <wp:extent cx="6475730" cy="355600"/>
          <wp:effectExtent l="0" t="0" r="127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207" w:rsidRPr="00AB2E51">
      <w:rPr>
        <w:color w:val="99999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4892" w14:textId="77777777" w:rsidR="00802028" w:rsidRDefault="00802028">
      <w:r>
        <w:separator/>
      </w:r>
    </w:p>
  </w:footnote>
  <w:footnote w:type="continuationSeparator" w:id="0">
    <w:p w14:paraId="655F9E3C" w14:textId="77777777" w:rsidR="00802028" w:rsidRDefault="00802028">
      <w:r>
        <w:continuationSeparator/>
      </w:r>
    </w:p>
  </w:footnote>
  <w:footnote w:type="continuationNotice" w:id="1">
    <w:p w14:paraId="45B0FA1B" w14:textId="77777777" w:rsidR="00802028" w:rsidRDefault="00802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C119" w14:textId="0330F704" w:rsidR="002B2207" w:rsidRPr="00723705" w:rsidRDefault="002B2207">
    <w:pPr>
      <w:pStyle w:val="Header"/>
      <w:rPr>
        <w:vertAlign w:val="subscript"/>
      </w:rPr>
    </w:pPr>
    <w:r>
      <w:rPr>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9F71" w14:textId="77777777" w:rsidR="002B2207" w:rsidRDefault="002B2207" w:rsidP="00853287">
    <w:pPr>
      <w:pStyle w:val="Header"/>
      <w:tabs>
        <w:tab w:val="clear" w:pos="4320"/>
        <w:tab w:val="clear" w:pos="8640"/>
        <w:tab w:val="left" w:pos="5856"/>
      </w:tabs>
    </w:pPr>
    <w:r>
      <w:rPr>
        <w:noProof/>
        <w:lang w:eastAsia="en-GB"/>
      </w:rPr>
      <w:drawing>
        <wp:anchor distT="0" distB="0" distL="114300" distR="114300" simplePos="0" relativeHeight="251658240" behindDoc="1" locked="1" layoutInCell="1" allowOverlap="1" wp14:anchorId="5AA3B6D7" wp14:editId="686EC9F8">
          <wp:simplePos x="0" y="0"/>
          <wp:positionH relativeFrom="page">
            <wp:align>center</wp:align>
          </wp:positionH>
          <wp:positionV relativeFrom="page">
            <wp:align>top</wp:align>
          </wp:positionV>
          <wp:extent cx="7559040" cy="2273300"/>
          <wp:effectExtent l="25400" t="0" r="10160" b="0"/>
          <wp:wrapNone/>
          <wp:docPr id="28" name="Placeholder" descr="CFOA_Word_Template_MAY2017_NFCC_BLANK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A_Word_Template_MAY2017_NFCC_BLANKBANNER.png"/>
                  <pic:cNvPicPr/>
                </pic:nvPicPr>
                <pic:blipFill>
                  <a:blip r:embed="rId1"/>
                  <a:stretch>
                    <a:fillRect/>
                  </a:stretch>
                </pic:blipFill>
                <pic:spPr>
                  <a:xfrm>
                    <a:off x="0" y="0"/>
                    <a:ext cx="7559040" cy="22733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636E"/>
    <w:multiLevelType w:val="hybridMultilevel"/>
    <w:tmpl w:val="734ED9C2"/>
    <w:lvl w:ilvl="0" w:tplc="0809000F">
      <w:start w:val="1"/>
      <w:numFmt w:val="decimal"/>
      <w:lvlText w:val="%1."/>
      <w:lvlJc w:val="left"/>
      <w:pPr>
        <w:ind w:left="720" w:hanging="360"/>
      </w:pPr>
      <w:rPr>
        <w:rFonts w:hint="default"/>
      </w:rPr>
    </w:lvl>
    <w:lvl w:ilvl="1" w:tplc="988238D4">
      <w:start w:val="1"/>
      <w:numFmt w:val="decimal"/>
      <w:lvlText w:val="1.%2."/>
      <w:lvlJc w:val="left"/>
      <w:pPr>
        <w:ind w:left="1440" w:hanging="360"/>
      </w:pPr>
      <w:rPr>
        <w:rFonts w:hint="default"/>
        <w:b w:val="0"/>
        <w:i w:val="0"/>
        <w:sz w:val="22"/>
        <w:u w:val="none"/>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85B34"/>
    <w:multiLevelType w:val="hybridMultilevel"/>
    <w:tmpl w:val="82626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ED2BFC"/>
    <w:multiLevelType w:val="hybridMultilevel"/>
    <w:tmpl w:val="242E7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C29DF"/>
    <w:multiLevelType w:val="multilevel"/>
    <w:tmpl w:val="01322B2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FF23C1"/>
    <w:multiLevelType w:val="hybridMultilevel"/>
    <w:tmpl w:val="92B6F706"/>
    <w:lvl w:ilvl="0" w:tplc="01C68626">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B78E9"/>
    <w:multiLevelType w:val="hybridMultilevel"/>
    <w:tmpl w:val="546C194A"/>
    <w:lvl w:ilvl="0" w:tplc="0809000F">
      <w:start w:val="1"/>
      <w:numFmt w:val="decimal"/>
      <w:lvlText w:val="%1."/>
      <w:lvlJc w:val="left"/>
      <w:pPr>
        <w:ind w:left="720" w:hanging="360"/>
      </w:pPr>
      <w:rPr>
        <w:rFonts w:hint="default"/>
      </w:rPr>
    </w:lvl>
    <w:lvl w:ilvl="1" w:tplc="BF4C39C8">
      <w:start w:val="1"/>
      <w:numFmt w:val="decimal"/>
      <w:lvlText w:val="4.%2."/>
      <w:lvlJc w:val="left"/>
      <w:pPr>
        <w:ind w:left="1440" w:hanging="360"/>
      </w:pPr>
      <w:rPr>
        <w:rFonts w:hint="default"/>
        <w:b w:val="0"/>
        <w:i w:val="0"/>
        <w:sz w:val="22"/>
        <w:u w:val="none"/>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B4158"/>
    <w:multiLevelType w:val="hybridMultilevel"/>
    <w:tmpl w:val="41AE0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FF363B"/>
    <w:multiLevelType w:val="hybridMultilevel"/>
    <w:tmpl w:val="840059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8A1DA5"/>
    <w:multiLevelType w:val="hybridMultilevel"/>
    <w:tmpl w:val="B4F49252"/>
    <w:lvl w:ilvl="0" w:tplc="0809000F">
      <w:start w:val="1"/>
      <w:numFmt w:val="decimal"/>
      <w:lvlText w:val="%1."/>
      <w:lvlJc w:val="left"/>
      <w:pPr>
        <w:ind w:left="720" w:hanging="360"/>
      </w:pPr>
      <w:rPr>
        <w:rFonts w:hint="default"/>
      </w:rPr>
    </w:lvl>
    <w:lvl w:ilvl="1" w:tplc="F57AFC62">
      <w:start w:val="1"/>
      <w:numFmt w:val="decimal"/>
      <w:lvlText w:val="3.%2."/>
      <w:lvlJc w:val="left"/>
      <w:pPr>
        <w:ind w:left="1440" w:hanging="360"/>
      </w:pPr>
      <w:rPr>
        <w:rFonts w:hint="default"/>
        <w:b w:val="0"/>
        <w:i w:val="0"/>
        <w:sz w:val="22"/>
        <w:u w:val="none"/>
      </w:rPr>
    </w:lvl>
    <w:lvl w:ilvl="2" w:tplc="08090001">
      <w:start w:val="1"/>
      <w:numFmt w:val="bullet"/>
      <w:lvlText w:val=""/>
      <w:lvlJc w:val="left"/>
      <w:pPr>
        <w:ind w:left="2340" w:hanging="360"/>
      </w:pPr>
      <w:rPr>
        <w:rFonts w:ascii="Symbol" w:hAnsi="Symbol" w:hint="default"/>
        <w:color w:val="01050A"/>
        <w:sz w:val="2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C2151D"/>
    <w:multiLevelType w:val="multilevel"/>
    <w:tmpl w:val="A8C059AE"/>
    <w:lvl w:ilvl="0">
      <w:start w:val="1"/>
      <w:numFmt w:val="decimal"/>
      <w:lvlText w:val="%1."/>
      <w:lvlJc w:val="left"/>
      <w:pPr>
        <w:ind w:left="360" w:hanging="360"/>
      </w:pPr>
      <w:rPr>
        <w:rFonts w:ascii="Arial" w:hAnsi="Arial" w:cs="Arial" w:hint="default"/>
        <w:b/>
        <w:sz w:val="24"/>
        <w:szCs w:val="24"/>
      </w:rPr>
    </w:lvl>
    <w:lvl w:ilvl="1">
      <w:start w:val="1"/>
      <w:numFmt w:val="decimal"/>
      <w:pStyle w:val="ListParagraph"/>
      <w:lvlText w:val="%1.%2."/>
      <w:lvlJc w:val="left"/>
      <w:pPr>
        <w:ind w:left="432"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5C49C2"/>
    <w:multiLevelType w:val="hybridMultilevel"/>
    <w:tmpl w:val="95127236"/>
    <w:lvl w:ilvl="0" w:tplc="0809000F">
      <w:start w:val="1"/>
      <w:numFmt w:val="decimal"/>
      <w:lvlText w:val="%1."/>
      <w:lvlJc w:val="left"/>
      <w:pPr>
        <w:ind w:left="720" w:hanging="360"/>
      </w:pPr>
      <w:rPr>
        <w:rFonts w:hint="default"/>
      </w:rPr>
    </w:lvl>
    <w:lvl w:ilvl="1" w:tplc="D1E60AB0">
      <w:start w:val="1"/>
      <w:numFmt w:val="decimal"/>
      <w:lvlText w:val="5.%2."/>
      <w:lvlJc w:val="left"/>
      <w:pPr>
        <w:ind w:left="1440" w:hanging="360"/>
      </w:pPr>
      <w:rPr>
        <w:rFonts w:hint="default"/>
        <w:b w:val="0"/>
        <w:i w:val="0"/>
        <w:sz w:val="22"/>
        <w:u w:val="non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B03CF0"/>
    <w:multiLevelType w:val="hybridMultilevel"/>
    <w:tmpl w:val="200006AC"/>
    <w:lvl w:ilvl="0" w:tplc="0809000F">
      <w:start w:val="1"/>
      <w:numFmt w:val="decimal"/>
      <w:lvlText w:val="%1."/>
      <w:lvlJc w:val="left"/>
      <w:pPr>
        <w:ind w:left="720" w:hanging="360"/>
      </w:pPr>
      <w:rPr>
        <w:rFonts w:hint="default"/>
      </w:rPr>
    </w:lvl>
    <w:lvl w:ilvl="1" w:tplc="9CC02326">
      <w:start w:val="1"/>
      <w:numFmt w:val="decimal"/>
      <w:lvlText w:val="2.%2."/>
      <w:lvlJc w:val="left"/>
      <w:pPr>
        <w:ind w:left="1440" w:hanging="360"/>
      </w:pPr>
      <w:rPr>
        <w:rFonts w:hint="default"/>
        <w:b w:val="0"/>
        <w:i w:val="0"/>
        <w:sz w:val="22"/>
        <w:u w:val="none"/>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8"/>
  </w:num>
  <w:num w:numId="5">
    <w:abstractNumId w:val="5"/>
  </w:num>
  <w:num w:numId="6">
    <w:abstractNumId w:val="10"/>
  </w:num>
  <w:num w:numId="7">
    <w:abstractNumId w:val="7"/>
  </w:num>
  <w:num w:numId="8">
    <w:abstractNumId w:val="11"/>
  </w:num>
  <w:num w:numId="9">
    <w:abstractNumId w:val="4"/>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
  </w:num>
  <w:num w:numId="31">
    <w:abstractNumId w:val="9"/>
  </w:num>
  <w:num w:numId="32">
    <w:abstractNumId w:val="9"/>
  </w:num>
  <w:num w:numId="33">
    <w:abstractNumId w:val="1"/>
  </w:num>
  <w:num w:numId="34">
    <w:abstractNumId w:val="9"/>
  </w:num>
  <w:num w:numId="35">
    <w:abstractNumId w:val="9"/>
  </w:num>
  <w:num w:numId="36">
    <w:abstractNumId w:val="9"/>
  </w:num>
  <w:num w:numId="37">
    <w:abstractNumId w:val="9"/>
  </w:num>
  <w:num w:numId="38">
    <w:abstractNumId w:val="9"/>
  </w:num>
  <w:num w:numId="39">
    <w:abstractNumId w:val="2"/>
  </w:num>
  <w:num w:numId="40">
    <w:abstractNumId w:val="6"/>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0F3"/>
    <w:rsid w:val="00000EE2"/>
    <w:rsid w:val="000019D5"/>
    <w:rsid w:val="00001E29"/>
    <w:rsid w:val="000043B0"/>
    <w:rsid w:val="00005E71"/>
    <w:rsid w:val="0000747B"/>
    <w:rsid w:val="0001092F"/>
    <w:rsid w:val="00013D04"/>
    <w:rsid w:val="00014968"/>
    <w:rsid w:val="00017104"/>
    <w:rsid w:val="00017C07"/>
    <w:rsid w:val="000267A2"/>
    <w:rsid w:val="00027AB4"/>
    <w:rsid w:val="000325E7"/>
    <w:rsid w:val="000359ED"/>
    <w:rsid w:val="000370B5"/>
    <w:rsid w:val="00040A21"/>
    <w:rsid w:val="0004286C"/>
    <w:rsid w:val="000439B4"/>
    <w:rsid w:val="00045350"/>
    <w:rsid w:val="00047ADE"/>
    <w:rsid w:val="0005085E"/>
    <w:rsid w:val="0005106A"/>
    <w:rsid w:val="000520A9"/>
    <w:rsid w:val="00055C6B"/>
    <w:rsid w:val="000560F3"/>
    <w:rsid w:val="00061A20"/>
    <w:rsid w:val="00064E88"/>
    <w:rsid w:val="000667BA"/>
    <w:rsid w:val="000675E9"/>
    <w:rsid w:val="000705EC"/>
    <w:rsid w:val="00073165"/>
    <w:rsid w:val="00077F12"/>
    <w:rsid w:val="00080642"/>
    <w:rsid w:val="000838B1"/>
    <w:rsid w:val="000840F8"/>
    <w:rsid w:val="000842BA"/>
    <w:rsid w:val="000843C5"/>
    <w:rsid w:val="00085271"/>
    <w:rsid w:val="00085A32"/>
    <w:rsid w:val="000870E2"/>
    <w:rsid w:val="00087477"/>
    <w:rsid w:val="00090900"/>
    <w:rsid w:val="0009266E"/>
    <w:rsid w:val="00093EE2"/>
    <w:rsid w:val="0009486E"/>
    <w:rsid w:val="000950F6"/>
    <w:rsid w:val="000A0192"/>
    <w:rsid w:val="000A1172"/>
    <w:rsid w:val="000A3734"/>
    <w:rsid w:val="000A3A3D"/>
    <w:rsid w:val="000B32DB"/>
    <w:rsid w:val="000B3D48"/>
    <w:rsid w:val="000B59D2"/>
    <w:rsid w:val="000B6B97"/>
    <w:rsid w:val="000C2242"/>
    <w:rsid w:val="000C590B"/>
    <w:rsid w:val="000D4EDA"/>
    <w:rsid w:val="000E1256"/>
    <w:rsid w:val="000E2278"/>
    <w:rsid w:val="000E2383"/>
    <w:rsid w:val="000E3511"/>
    <w:rsid w:val="000E50FA"/>
    <w:rsid w:val="000E5704"/>
    <w:rsid w:val="000F1A6B"/>
    <w:rsid w:val="000F327C"/>
    <w:rsid w:val="000F3324"/>
    <w:rsid w:val="000F57CA"/>
    <w:rsid w:val="001008D5"/>
    <w:rsid w:val="001015BE"/>
    <w:rsid w:val="001023F8"/>
    <w:rsid w:val="00102AC8"/>
    <w:rsid w:val="001039C4"/>
    <w:rsid w:val="00106813"/>
    <w:rsid w:val="00107869"/>
    <w:rsid w:val="00107A77"/>
    <w:rsid w:val="00110E4F"/>
    <w:rsid w:val="00111A79"/>
    <w:rsid w:val="00111BFA"/>
    <w:rsid w:val="001139DA"/>
    <w:rsid w:val="001151CF"/>
    <w:rsid w:val="001162D1"/>
    <w:rsid w:val="00117653"/>
    <w:rsid w:val="00123C82"/>
    <w:rsid w:val="00124FC5"/>
    <w:rsid w:val="001318E1"/>
    <w:rsid w:val="00132360"/>
    <w:rsid w:val="00132DCE"/>
    <w:rsid w:val="001338B8"/>
    <w:rsid w:val="001339E1"/>
    <w:rsid w:val="00133C59"/>
    <w:rsid w:val="00133F62"/>
    <w:rsid w:val="00134782"/>
    <w:rsid w:val="00135B8C"/>
    <w:rsid w:val="00136351"/>
    <w:rsid w:val="0014039E"/>
    <w:rsid w:val="00142075"/>
    <w:rsid w:val="00142234"/>
    <w:rsid w:val="00142419"/>
    <w:rsid w:val="001430CB"/>
    <w:rsid w:val="001433D4"/>
    <w:rsid w:val="00144005"/>
    <w:rsid w:val="00145E63"/>
    <w:rsid w:val="00146123"/>
    <w:rsid w:val="00152690"/>
    <w:rsid w:val="001532AD"/>
    <w:rsid w:val="00153BBE"/>
    <w:rsid w:val="001541DF"/>
    <w:rsid w:val="0015430A"/>
    <w:rsid w:val="00154D75"/>
    <w:rsid w:val="00157947"/>
    <w:rsid w:val="00161989"/>
    <w:rsid w:val="001634CF"/>
    <w:rsid w:val="00165D97"/>
    <w:rsid w:val="00171C14"/>
    <w:rsid w:val="00173CC6"/>
    <w:rsid w:val="00175EE0"/>
    <w:rsid w:val="001811CE"/>
    <w:rsid w:val="00184EA7"/>
    <w:rsid w:val="001853FA"/>
    <w:rsid w:val="00185FD1"/>
    <w:rsid w:val="00186AB7"/>
    <w:rsid w:val="00186C0A"/>
    <w:rsid w:val="001901F7"/>
    <w:rsid w:val="00190281"/>
    <w:rsid w:val="001932B7"/>
    <w:rsid w:val="00196263"/>
    <w:rsid w:val="00196C41"/>
    <w:rsid w:val="001A038A"/>
    <w:rsid w:val="001A2045"/>
    <w:rsid w:val="001A2097"/>
    <w:rsid w:val="001A2338"/>
    <w:rsid w:val="001A256B"/>
    <w:rsid w:val="001A4447"/>
    <w:rsid w:val="001A700B"/>
    <w:rsid w:val="001B1415"/>
    <w:rsid w:val="001B2502"/>
    <w:rsid w:val="001B2E3C"/>
    <w:rsid w:val="001B6B6F"/>
    <w:rsid w:val="001C1F68"/>
    <w:rsid w:val="001C57DF"/>
    <w:rsid w:val="001D4208"/>
    <w:rsid w:val="001D5528"/>
    <w:rsid w:val="001D790C"/>
    <w:rsid w:val="001D7D44"/>
    <w:rsid w:val="001E5388"/>
    <w:rsid w:val="001E76BE"/>
    <w:rsid w:val="001E76DA"/>
    <w:rsid w:val="001F12A3"/>
    <w:rsid w:val="001F39E1"/>
    <w:rsid w:val="001F5EC3"/>
    <w:rsid w:val="0020168E"/>
    <w:rsid w:val="002018BD"/>
    <w:rsid w:val="00203C7D"/>
    <w:rsid w:val="002045F1"/>
    <w:rsid w:val="00205257"/>
    <w:rsid w:val="00212070"/>
    <w:rsid w:val="00212315"/>
    <w:rsid w:val="00212975"/>
    <w:rsid w:val="00212A7A"/>
    <w:rsid w:val="00212DE4"/>
    <w:rsid w:val="002138FF"/>
    <w:rsid w:val="00213B9A"/>
    <w:rsid w:val="00214746"/>
    <w:rsid w:val="00215322"/>
    <w:rsid w:val="00215454"/>
    <w:rsid w:val="00215A70"/>
    <w:rsid w:val="002228C2"/>
    <w:rsid w:val="00230441"/>
    <w:rsid w:val="00232BA0"/>
    <w:rsid w:val="00233342"/>
    <w:rsid w:val="00233ACC"/>
    <w:rsid w:val="00234624"/>
    <w:rsid w:val="00235312"/>
    <w:rsid w:val="002379B2"/>
    <w:rsid w:val="0024031E"/>
    <w:rsid w:val="002408E3"/>
    <w:rsid w:val="00242AFC"/>
    <w:rsid w:val="00244A3A"/>
    <w:rsid w:val="00245D86"/>
    <w:rsid w:val="00245DA3"/>
    <w:rsid w:val="00247D5E"/>
    <w:rsid w:val="002519A0"/>
    <w:rsid w:val="002534FD"/>
    <w:rsid w:val="00255252"/>
    <w:rsid w:val="0026029A"/>
    <w:rsid w:val="00270811"/>
    <w:rsid w:val="002717F6"/>
    <w:rsid w:val="00271EB7"/>
    <w:rsid w:val="0027230A"/>
    <w:rsid w:val="00275831"/>
    <w:rsid w:val="002812E5"/>
    <w:rsid w:val="00281B53"/>
    <w:rsid w:val="00284004"/>
    <w:rsid w:val="002864F7"/>
    <w:rsid w:val="00286E47"/>
    <w:rsid w:val="00291B5D"/>
    <w:rsid w:val="00292BB8"/>
    <w:rsid w:val="00295C36"/>
    <w:rsid w:val="00297516"/>
    <w:rsid w:val="002A096F"/>
    <w:rsid w:val="002A1C19"/>
    <w:rsid w:val="002A621E"/>
    <w:rsid w:val="002A7C70"/>
    <w:rsid w:val="002B2207"/>
    <w:rsid w:val="002B41CB"/>
    <w:rsid w:val="002B593A"/>
    <w:rsid w:val="002B7433"/>
    <w:rsid w:val="002C12A4"/>
    <w:rsid w:val="002C4687"/>
    <w:rsid w:val="002C55CD"/>
    <w:rsid w:val="002D12BC"/>
    <w:rsid w:val="002D3028"/>
    <w:rsid w:val="002D30E5"/>
    <w:rsid w:val="002D4AFB"/>
    <w:rsid w:val="002E204A"/>
    <w:rsid w:val="002E26ED"/>
    <w:rsid w:val="002E469B"/>
    <w:rsid w:val="002E772B"/>
    <w:rsid w:val="002F0442"/>
    <w:rsid w:val="002F0BC6"/>
    <w:rsid w:val="002F4AFF"/>
    <w:rsid w:val="002F7A25"/>
    <w:rsid w:val="003005C6"/>
    <w:rsid w:val="003007A1"/>
    <w:rsid w:val="00301779"/>
    <w:rsid w:val="003018D7"/>
    <w:rsid w:val="003043CF"/>
    <w:rsid w:val="00310F4A"/>
    <w:rsid w:val="003112C2"/>
    <w:rsid w:val="003113E3"/>
    <w:rsid w:val="00316783"/>
    <w:rsid w:val="0032057F"/>
    <w:rsid w:val="00320937"/>
    <w:rsid w:val="00321B66"/>
    <w:rsid w:val="00322DB4"/>
    <w:rsid w:val="00325CE9"/>
    <w:rsid w:val="003267E3"/>
    <w:rsid w:val="00332BEB"/>
    <w:rsid w:val="00333F40"/>
    <w:rsid w:val="003375DC"/>
    <w:rsid w:val="00337BC3"/>
    <w:rsid w:val="0034254D"/>
    <w:rsid w:val="00342D47"/>
    <w:rsid w:val="00345514"/>
    <w:rsid w:val="00345983"/>
    <w:rsid w:val="003463C3"/>
    <w:rsid w:val="0034671A"/>
    <w:rsid w:val="003509F0"/>
    <w:rsid w:val="00352FB3"/>
    <w:rsid w:val="0035394F"/>
    <w:rsid w:val="00354202"/>
    <w:rsid w:val="003546D5"/>
    <w:rsid w:val="003555EC"/>
    <w:rsid w:val="00355693"/>
    <w:rsid w:val="00357A30"/>
    <w:rsid w:val="00357BBD"/>
    <w:rsid w:val="003605EB"/>
    <w:rsid w:val="0036228C"/>
    <w:rsid w:val="003624A1"/>
    <w:rsid w:val="0036325A"/>
    <w:rsid w:val="00366259"/>
    <w:rsid w:val="003666C0"/>
    <w:rsid w:val="00371CFB"/>
    <w:rsid w:val="00373202"/>
    <w:rsid w:val="00374817"/>
    <w:rsid w:val="00374CB3"/>
    <w:rsid w:val="003758EE"/>
    <w:rsid w:val="00377DBF"/>
    <w:rsid w:val="00377E30"/>
    <w:rsid w:val="0038156E"/>
    <w:rsid w:val="00382365"/>
    <w:rsid w:val="00382B0B"/>
    <w:rsid w:val="00383038"/>
    <w:rsid w:val="00391AC3"/>
    <w:rsid w:val="00392DDB"/>
    <w:rsid w:val="00394394"/>
    <w:rsid w:val="00395DC6"/>
    <w:rsid w:val="003961A4"/>
    <w:rsid w:val="003964AF"/>
    <w:rsid w:val="00397223"/>
    <w:rsid w:val="003A30B2"/>
    <w:rsid w:val="003A68D0"/>
    <w:rsid w:val="003A6B93"/>
    <w:rsid w:val="003B176A"/>
    <w:rsid w:val="003B2667"/>
    <w:rsid w:val="003B73FD"/>
    <w:rsid w:val="003C22D6"/>
    <w:rsid w:val="003C463C"/>
    <w:rsid w:val="003C4CCA"/>
    <w:rsid w:val="003C5C98"/>
    <w:rsid w:val="003C625C"/>
    <w:rsid w:val="003D0AFB"/>
    <w:rsid w:val="003D1859"/>
    <w:rsid w:val="003D287F"/>
    <w:rsid w:val="003E20CD"/>
    <w:rsid w:val="003E72C2"/>
    <w:rsid w:val="003F1FD4"/>
    <w:rsid w:val="003F25B4"/>
    <w:rsid w:val="003F4A7B"/>
    <w:rsid w:val="003F643C"/>
    <w:rsid w:val="003F77FB"/>
    <w:rsid w:val="00402DCD"/>
    <w:rsid w:val="00404876"/>
    <w:rsid w:val="00404D60"/>
    <w:rsid w:val="00411FF5"/>
    <w:rsid w:val="0041493D"/>
    <w:rsid w:val="00416DC0"/>
    <w:rsid w:val="0041A9E4"/>
    <w:rsid w:val="004211EC"/>
    <w:rsid w:val="0042155D"/>
    <w:rsid w:val="0042449B"/>
    <w:rsid w:val="004247E6"/>
    <w:rsid w:val="00424BB5"/>
    <w:rsid w:val="004270DE"/>
    <w:rsid w:val="00430434"/>
    <w:rsid w:val="00431639"/>
    <w:rsid w:val="00435777"/>
    <w:rsid w:val="004358B9"/>
    <w:rsid w:val="00437166"/>
    <w:rsid w:val="0043724C"/>
    <w:rsid w:val="00437DB4"/>
    <w:rsid w:val="00440A89"/>
    <w:rsid w:val="004447D9"/>
    <w:rsid w:val="00444DD7"/>
    <w:rsid w:val="004455EA"/>
    <w:rsid w:val="00446552"/>
    <w:rsid w:val="00451705"/>
    <w:rsid w:val="0045170B"/>
    <w:rsid w:val="004537FB"/>
    <w:rsid w:val="00454CEB"/>
    <w:rsid w:val="004559B6"/>
    <w:rsid w:val="00463134"/>
    <w:rsid w:val="004646D8"/>
    <w:rsid w:val="00464987"/>
    <w:rsid w:val="00464D65"/>
    <w:rsid w:val="0046601B"/>
    <w:rsid w:val="00466BA4"/>
    <w:rsid w:val="00467278"/>
    <w:rsid w:val="00467777"/>
    <w:rsid w:val="00467BF3"/>
    <w:rsid w:val="00473563"/>
    <w:rsid w:val="004800D1"/>
    <w:rsid w:val="00480204"/>
    <w:rsid w:val="00481744"/>
    <w:rsid w:val="004839A5"/>
    <w:rsid w:val="004853F5"/>
    <w:rsid w:val="004855B6"/>
    <w:rsid w:val="0049014B"/>
    <w:rsid w:val="00490E17"/>
    <w:rsid w:val="004955A5"/>
    <w:rsid w:val="00495ECC"/>
    <w:rsid w:val="00496AB6"/>
    <w:rsid w:val="004A1FD1"/>
    <w:rsid w:val="004A4A71"/>
    <w:rsid w:val="004A4B9D"/>
    <w:rsid w:val="004B173E"/>
    <w:rsid w:val="004B3DC7"/>
    <w:rsid w:val="004B7A16"/>
    <w:rsid w:val="004B7E53"/>
    <w:rsid w:val="004C0266"/>
    <w:rsid w:val="004C0789"/>
    <w:rsid w:val="004C0B3A"/>
    <w:rsid w:val="004C2E97"/>
    <w:rsid w:val="004C2F15"/>
    <w:rsid w:val="004C3C9A"/>
    <w:rsid w:val="004C78C1"/>
    <w:rsid w:val="004C7D2A"/>
    <w:rsid w:val="004D0D73"/>
    <w:rsid w:val="004D5BCA"/>
    <w:rsid w:val="004D5DFE"/>
    <w:rsid w:val="004D71FD"/>
    <w:rsid w:val="004D75E7"/>
    <w:rsid w:val="004E0B58"/>
    <w:rsid w:val="004E1E85"/>
    <w:rsid w:val="004E4231"/>
    <w:rsid w:val="004F0621"/>
    <w:rsid w:val="004F1730"/>
    <w:rsid w:val="004F1A4D"/>
    <w:rsid w:val="004F23A9"/>
    <w:rsid w:val="00500B61"/>
    <w:rsid w:val="00500D20"/>
    <w:rsid w:val="0050303F"/>
    <w:rsid w:val="00505227"/>
    <w:rsid w:val="00505471"/>
    <w:rsid w:val="0050E9DC"/>
    <w:rsid w:val="005108F8"/>
    <w:rsid w:val="00510CEF"/>
    <w:rsid w:val="00511E1A"/>
    <w:rsid w:val="00514A66"/>
    <w:rsid w:val="00514D13"/>
    <w:rsid w:val="00523C78"/>
    <w:rsid w:val="00524674"/>
    <w:rsid w:val="00525844"/>
    <w:rsid w:val="005265F9"/>
    <w:rsid w:val="00526BC3"/>
    <w:rsid w:val="0053084D"/>
    <w:rsid w:val="00530A1E"/>
    <w:rsid w:val="0053106C"/>
    <w:rsid w:val="0053255A"/>
    <w:rsid w:val="00534A31"/>
    <w:rsid w:val="00536C09"/>
    <w:rsid w:val="00536C90"/>
    <w:rsid w:val="00541F00"/>
    <w:rsid w:val="00542BBA"/>
    <w:rsid w:val="00543846"/>
    <w:rsid w:val="00544218"/>
    <w:rsid w:val="00544B61"/>
    <w:rsid w:val="00545729"/>
    <w:rsid w:val="00545D09"/>
    <w:rsid w:val="00546555"/>
    <w:rsid w:val="00546586"/>
    <w:rsid w:val="00546F72"/>
    <w:rsid w:val="00552BF5"/>
    <w:rsid w:val="0055567C"/>
    <w:rsid w:val="00555CB7"/>
    <w:rsid w:val="005562AE"/>
    <w:rsid w:val="00557692"/>
    <w:rsid w:val="005650CD"/>
    <w:rsid w:val="00566760"/>
    <w:rsid w:val="00570971"/>
    <w:rsid w:val="005710EB"/>
    <w:rsid w:val="005713DD"/>
    <w:rsid w:val="0057429F"/>
    <w:rsid w:val="00574673"/>
    <w:rsid w:val="00576671"/>
    <w:rsid w:val="00577163"/>
    <w:rsid w:val="00580742"/>
    <w:rsid w:val="0058263D"/>
    <w:rsid w:val="00582728"/>
    <w:rsid w:val="005837BD"/>
    <w:rsid w:val="00585288"/>
    <w:rsid w:val="00585C36"/>
    <w:rsid w:val="005901DA"/>
    <w:rsid w:val="00590891"/>
    <w:rsid w:val="00590F92"/>
    <w:rsid w:val="00592BB3"/>
    <w:rsid w:val="00595D61"/>
    <w:rsid w:val="00595F77"/>
    <w:rsid w:val="0059610C"/>
    <w:rsid w:val="005966F6"/>
    <w:rsid w:val="005978E0"/>
    <w:rsid w:val="005A1733"/>
    <w:rsid w:val="005A3B35"/>
    <w:rsid w:val="005A5BFA"/>
    <w:rsid w:val="005B0025"/>
    <w:rsid w:val="005B1ACF"/>
    <w:rsid w:val="005B5793"/>
    <w:rsid w:val="005B69CB"/>
    <w:rsid w:val="005C0F9B"/>
    <w:rsid w:val="005C5726"/>
    <w:rsid w:val="005D0DD4"/>
    <w:rsid w:val="005D33CF"/>
    <w:rsid w:val="005D4F70"/>
    <w:rsid w:val="005D65B1"/>
    <w:rsid w:val="005D6D1F"/>
    <w:rsid w:val="005E172B"/>
    <w:rsid w:val="005E1D75"/>
    <w:rsid w:val="005E5846"/>
    <w:rsid w:val="005E6571"/>
    <w:rsid w:val="005E6607"/>
    <w:rsid w:val="005F044E"/>
    <w:rsid w:val="005F1179"/>
    <w:rsid w:val="005F3F85"/>
    <w:rsid w:val="006016B9"/>
    <w:rsid w:val="006016D3"/>
    <w:rsid w:val="00604263"/>
    <w:rsid w:val="00606099"/>
    <w:rsid w:val="006102F3"/>
    <w:rsid w:val="00610686"/>
    <w:rsid w:val="00610E21"/>
    <w:rsid w:val="00611A4E"/>
    <w:rsid w:val="00624310"/>
    <w:rsid w:val="00627AD6"/>
    <w:rsid w:val="00627EE0"/>
    <w:rsid w:val="006321BC"/>
    <w:rsid w:val="006344F6"/>
    <w:rsid w:val="00640B10"/>
    <w:rsid w:val="00643195"/>
    <w:rsid w:val="00644ED4"/>
    <w:rsid w:val="006511B3"/>
    <w:rsid w:val="006516A9"/>
    <w:rsid w:val="006535A7"/>
    <w:rsid w:val="00655784"/>
    <w:rsid w:val="00655857"/>
    <w:rsid w:val="00655DA8"/>
    <w:rsid w:val="006603E2"/>
    <w:rsid w:val="00661300"/>
    <w:rsid w:val="006623E8"/>
    <w:rsid w:val="006648AC"/>
    <w:rsid w:val="00665D07"/>
    <w:rsid w:val="00666AA7"/>
    <w:rsid w:val="00667414"/>
    <w:rsid w:val="00667D48"/>
    <w:rsid w:val="00670168"/>
    <w:rsid w:val="00671739"/>
    <w:rsid w:val="00672B25"/>
    <w:rsid w:val="00676226"/>
    <w:rsid w:val="00681368"/>
    <w:rsid w:val="00681F1E"/>
    <w:rsid w:val="0068338B"/>
    <w:rsid w:val="00697899"/>
    <w:rsid w:val="006A2168"/>
    <w:rsid w:val="006A2406"/>
    <w:rsid w:val="006A3190"/>
    <w:rsid w:val="006A5B0F"/>
    <w:rsid w:val="006A606E"/>
    <w:rsid w:val="006A6676"/>
    <w:rsid w:val="006A7D24"/>
    <w:rsid w:val="006B0631"/>
    <w:rsid w:val="006B0C1F"/>
    <w:rsid w:val="006B1B0C"/>
    <w:rsid w:val="006B6557"/>
    <w:rsid w:val="006B700F"/>
    <w:rsid w:val="006B7339"/>
    <w:rsid w:val="006B7FE6"/>
    <w:rsid w:val="006C1F77"/>
    <w:rsid w:val="006C33F1"/>
    <w:rsid w:val="006C3788"/>
    <w:rsid w:val="006C3BC6"/>
    <w:rsid w:val="006C7960"/>
    <w:rsid w:val="006D079F"/>
    <w:rsid w:val="006D257E"/>
    <w:rsid w:val="006D271A"/>
    <w:rsid w:val="006D4382"/>
    <w:rsid w:val="006D66FD"/>
    <w:rsid w:val="006E04A6"/>
    <w:rsid w:val="006E1202"/>
    <w:rsid w:val="006E6335"/>
    <w:rsid w:val="006F01C2"/>
    <w:rsid w:val="006F0407"/>
    <w:rsid w:val="006F4C57"/>
    <w:rsid w:val="006F6667"/>
    <w:rsid w:val="00701354"/>
    <w:rsid w:val="007018B3"/>
    <w:rsid w:val="007039A4"/>
    <w:rsid w:val="007041FA"/>
    <w:rsid w:val="007065EC"/>
    <w:rsid w:val="00713460"/>
    <w:rsid w:val="00715E3E"/>
    <w:rsid w:val="00716533"/>
    <w:rsid w:val="00716D73"/>
    <w:rsid w:val="007208C3"/>
    <w:rsid w:val="00721009"/>
    <w:rsid w:val="00723795"/>
    <w:rsid w:val="0072547F"/>
    <w:rsid w:val="00727E35"/>
    <w:rsid w:val="007352CD"/>
    <w:rsid w:val="00737A08"/>
    <w:rsid w:val="0074090C"/>
    <w:rsid w:val="00741CCC"/>
    <w:rsid w:val="007425DF"/>
    <w:rsid w:val="00743A38"/>
    <w:rsid w:val="00745DC9"/>
    <w:rsid w:val="0075220A"/>
    <w:rsid w:val="00752A21"/>
    <w:rsid w:val="0075576A"/>
    <w:rsid w:val="00757BF0"/>
    <w:rsid w:val="0076083F"/>
    <w:rsid w:val="0076286A"/>
    <w:rsid w:val="00762AC0"/>
    <w:rsid w:val="00762E12"/>
    <w:rsid w:val="00764997"/>
    <w:rsid w:val="00765153"/>
    <w:rsid w:val="007655A2"/>
    <w:rsid w:val="007657FF"/>
    <w:rsid w:val="00765ACD"/>
    <w:rsid w:val="007666DC"/>
    <w:rsid w:val="00770638"/>
    <w:rsid w:val="00770D75"/>
    <w:rsid w:val="00771401"/>
    <w:rsid w:val="0077235E"/>
    <w:rsid w:val="00772BDE"/>
    <w:rsid w:val="00774394"/>
    <w:rsid w:val="00774914"/>
    <w:rsid w:val="007749E1"/>
    <w:rsid w:val="00774F4A"/>
    <w:rsid w:val="00775188"/>
    <w:rsid w:val="00775B0D"/>
    <w:rsid w:val="00775E6C"/>
    <w:rsid w:val="00776C04"/>
    <w:rsid w:val="0077791C"/>
    <w:rsid w:val="0078175A"/>
    <w:rsid w:val="00783B0C"/>
    <w:rsid w:val="00786508"/>
    <w:rsid w:val="0078738D"/>
    <w:rsid w:val="007909B9"/>
    <w:rsid w:val="007915BD"/>
    <w:rsid w:val="007926AF"/>
    <w:rsid w:val="00796A4F"/>
    <w:rsid w:val="00796F23"/>
    <w:rsid w:val="007A5D3A"/>
    <w:rsid w:val="007B1265"/>
    <w:rsid w:val="007B23B7"/>
    <w:rsid w:val="007B26F1"/>
    <w:rsid w:val="007B55E7"/>
    <w:rsid w:val="007B660D"/>
    <w:rsid w:val="007B7F55"/>
    <w:rsid w:val="007C01CB"/>
    <w:rsid w:val="007C1BA0"/>
    <w:rsid w:val="007C27E0"/>
    <w:rsid w:val="007C359D"/>
    <w:rsid w:val="007C482C"/>
    <w:rsid w:val="007C5DCF"/>
    <w:rsid w:val="007C68D9"/>
    <w:rsid w:val="007C760C"/>
    <w:rsid w:val="007D1C4F"/>
    <w:rsid w:val="007D2489"/>
    <w:rsid w:val="007D25B0"/>
    <w:rsid w:val="007D4154"/>
    <w:rsid w:val="007D4332"/>
    <w:rsid w:val="007D45E8"/>
    <w:rsid w:val="007D7045"/>
    <w:rsid w:val="007D7F79"/>
    <w:rsid w:val="007E5FAC"/>
    <w:rsid w:val="007F0BE8"/>
    <w:rsid w:val="007F4034"/>
    <w:rsid w:val="007F51A0"/>
    <w:rsid w:val="007F706B"/>
    <w:rsid w:val="007F79C1"/>
    <w:rsid w:val="008019C2"/>
    <w:rsid w:val="00801D05"/>
    <w:rsid w:val="00802028"/>
    <w:rsid w:val="0080216A"/>
    <w:rsid w:val="00802606"/>
    <w:rsid w:val="00804487"/>
    <w:rsid w:val="00806DC2"/>
    <w:rsid w:val="00807529"/>
    <w:rsid w:val="008121BA"/>
    <w:rsid w:val="0081368C"/>
    <w:rsid w:val="00820D31"/>
    <w:rsid w:val="00827B44"/>
    <w:rsid w:val="00830960"/>
    <w:rsid w:val="00831924"/>
    <w:rsid w:val="00837E09"/>
    <w:rsid w:val="008424C0"/>
    <w:rsid w:val="00843DDF"/>
    <w:rsid w:val="008441A5"/>
    <w:rsid w:val="008441C4"/>
    <w:rsid w:val="00850354"/>
    <w:rsid w:val="00850C03"/>
    <w:rsid w:val="00852D80"/>
    <w:rsid w:val="00853287"/>
    <w:rsid w:val="00855826"/>
    <w:rsid w:val="00857199"/>
    <w:rsid w:val="00857ABE"/>
    <w:rsid w:val="008631BC"/>
    <w:rsid w:val="00865D51"/>
    <w:rsid w:val="00865F70"/>
    <w:rsid w:val="008663E2"/>
    <w:rsid w:val="00870543"/>
    <w:rsid w:val="00872A7A"/>
    <w:rsid w:val="0087341D"/>
    <w:rsid w:val="008740AA"/>
    <w:rsid w:val="008746D6"/>
    <w:rsid w:val="00875FB0"/>
    <w:rsid w:val="00875FD2"/>
    <w:rsid w:val="0088232B"/>
    <w:rsid w:val="00882848"/>
    <w:rsid w:val="00883C12"/>
    <w:rsid w:val="00885F4C"/>
    <w:rsid w:val="008913B4"/>
    <w:rsid w:val="00893DC0"/>
    <w:rsid w:val="00894672"/>
    <w:rsid w:val="008960E9"/>
    <w:rsid w:val="008A2FF0"/>
    <w:rsid w:val="008A6039"/>
    <w:rsid w:val="008A64A7"/>
    <w:rsid w:val="008B050A"/>
    <w:rsid w:val="008B196A"/>
    <w:rsid w:val="008B2AF2"/>
    <w:rsid w:val="008B5CC3"/>
    <w:rsid w:val="008C092B"/>
    <w:rsid w:val="008C10A2"/>
    <w:rsid w:val="008C3282"/>
    <w:rsid w:val="008C4546"/>
    <w:rsid w:val="008C58D6"/>
    <w:rsid w:val="008C6FEC"/>
    <w:rsid w:val="008C7F04"/>
    <w:rsid w:val="008D3D2A"/>
    <w:rsid w:val="008D5026"/>
    <w:rsid w:val="008D5C6D"/>
    <w:rsid w:val="008D775B"/>
    <w:rsid w:val="008E0BAA"/>
    <w:rsid w:val="008E20F2"/>
    <w:rsid w:val="008E2485"/>
    <w:rsid w:val="008E3C2A"/>
    <w:rsid w:val="008E5029"/>
    <w:rsid w:val="008E5A41"/>
    <w:rsid w:val="008E6A6B"/>
    <w:rsid w:val="008E745A"/>
    <w:rsid w:val="008F3633"/>
    <w:rsid w:val="008F419B"/>
    <w:rsid w:val="008F7D61"/>
    <w:rsid w:val="00900D55"/>
    <w:rsid w:val="00904765"/>
    <w:rsid w:val="00907612"/>
    <w:rsid w:val="00910E91"/>
    <w:rsid w:val="009139E8"/>
    <w:rsid w:val="00921184"/>
    <w:rsid w:val="00922C4C"/>
    <w:rsid w:val="00924392"/>
    <w:rsid w:val="00925633"/>
    <w:rsid w:val="00925A31"/>
    <w:rsid w:val="00926205"/>
    <w:rsid w:val="00926406"/>
    <w:rsid w:val="009264CA"/>
    <w:rsid w:val="009277AE"/>
    <w:rsid w:val="00927C70"/>
    <w:rsid w:val="00931CA9"/>
    <w:rsid w:val="009369BD"/>
    <w:rsid w:val="00937756"/>
    <w:rsid w:val="00942BD1"/>
    <w:rsid w:val="00945488"/>
    <w:rsid w:val="00946EB7"/>
    <w:rsid w:val="009477EC"/>
    <w:rsid w:val="00950ECE"/>
    <w:rsid w:val="009557F7"/>
    <w:rsid w:val="00957A96"/>
    <w:rsid w:val="00960A5F"/>
    <w:rsid w:val="0096158B"/>
    <w:rsid w:val="00966E6E"/>
    <w:rsid w:val="00971D0A"/>
    <w:rsid w:val="009723EB"/>
    <w:rsid w:val="00974814"/>
    <w:rsid w:val="0098116D"/>
    <w:rsid w:val="00981FB0"/>
    <w:rsid w:val="00986FFC"/>
    <w:rsid w:val="00987BEF"/>
    <w:rsid w:val="0099077E"/>
    <w:rsid w:val="0099105F"/>
    <w:rsid w:val="009916E0"/>
    <w:rsid w:val="009926FF"/>
    <w:rsid w:val="009A2107"/>
    <w:rsid w:val="009A2534"/>
    <w:rsid w:val="009A3302"/>
    <w:rsid w:val="009A3855"/>
    <w:rsid w:val="009A7865"/>
    <w:rsid w:val="009B3C60"/>
    <w:rsid w:val="009B419C"/>
    <w:rsid w:val="009B5624"/>
    <w:rsid w:val="009B5A83"/>
    <w:rsid w:val="009B6605"/>
    <w:rsid w:val="009C0813"/>
    <w:rsid w:val="009C2667"/>
    <w:rsid w:val="009C3A25"/>
    <w:rsid w:val="009C5121"/>
    <w:rsid w:val="009C5A4A"/>
    <w:rsid w:val="009C6A32"/>
    <w:rsid w:val="009C78C3"/>
    <w:rsid w:val="009C7C26"/>
    <w:rsid w:val="009D1576"/>
    <w:rsid w:val="009D2A99"/>
    <w:rsid w:val="009D6AF0"/>
    <w:rsid w:val="009D7268"/>
    <w:rsid w:val="009E38F1"/>
    <w:rsid w:val="009E64DB"/>
    <w:rsid w:val="009E6682"/>
    <w:rsid w:val="009E71E1"/>
    <w:rsid w:val="009E7687"/>
    <w:rsid w:val="009E777B"/>
    <w:rsid w:val="009E7FA5"/>
    <w:rsid w:val="009F1C61"/>
    <w:rsid w:val="009F244F"/>
    <w:rsid w:val="009F315D"/>
    <w:rsid w:val="009F34AE"/>
    <w:rsid w:val="009F4617"/>
    <w:rsid w:val="009F525F"/>
    <w:rsid w:val="009F6E55"/>
    <w:rsid w:val="00A01240"/>
    <w:rsid w:val="00A0284A"/>
    <w:rsid w:val="00A0356D"/>
    <w:rsid w:val="00A04FD3"/>
    <w:rsid w:val="00A0515C"/>
    <w:rsid w:val="00A0571B"/>
    <w:rsid w:val="00A0775B"/>
    <w:rsid w:val="00A110D0"/>
    <w:rsid w:val="00A1289E"/>
    <w:rsid w:val="00A1459B"/>
    <w:rsid w:val="00A16D85"/>
    <w:rsid w:val="00A22871"/>
    <w:rsid w:val="00A2319D"/>
    <w:rsid w:val="00A24709"/>
    <w:rsid w:val="00A24CAF"/>
    <w:rsid w:val="00A26C84"/>
    <w:rsid w:val="00A30BD8"/>
    <w:rsid w:val="00A32597"/>
    <w:rsid w:val="00A331C3"/>
    <w:rsid w:val="00A33D67"/>
    <w:rsid w:val="00A34889"/>
    <w:rsid w:val="00A354F9"/>
    <w:rsid w:val="00A36151"/>
    <w:rsid w:val="00A400B2"/>
    <w:rsid w:val="00A40FCA"/>
    <w:rsid w:val="00A41C62"/>
    <w:rsid w:val="00A41DE5"/>
    <w:rsid w:val="00A4564B"/>
    <w:rsid w:val="00A45AEE"/>
    <w:rsid w:val="00A45B7E"/>
    <w:rsid w:val="00A502AB"/>
    <w:rsid w:val="00A5032D"/>
    <w:rsid w:val="00A55484"/>
    <w:rsid w:val="00A62C17"/>
    <w:rsid w:val="00A62CA5"/>
    <w:rsid w:val="00A673F1"/>
    <w:rsid w:val="00A70A5E"/>
    <w:rsid w:val="00A72FB9"/>
    <w:rsid w:val="00A7663F"/>
    <w:rsid w:val="00A8261A"/>
    <w:rsid w:val="00A85279"/>
    <w:rsid w:val="00A864D0"/>
    <w:rsid w:val="00A8772E"/>
    <w:rsid w:val="00A91E4A"/>
    <w:rsid w:val="00A92297"/>
    <w:rsid w:val="00A95CF5"/>
    <w:rsid w:val="00A97AAD"/>
    <w:rsid w:val="00AA2AB5"/>
    <w:rsid w:val="00AA3265"/>
    <w:rsid w:val="00AA3B06"/>
    <w:rsid w:val="00AA3E09"/>
    <w:rsid w:val="00AA3E84"/>
    <w:rsid w:val="00AA4065"/>
    <w:rsid w:val="00AA447F"/>
    <w:rsid w:val="00AA4A7E"/>
    <w:rsid w:val="00AA58E4"/>
    <w:rsid w:val="00AA6517"/>
    <w:rsid w:val="00AA7A6F"/>
    <w:rsid w:val="00AB0DFB"/>
    <w:rsid w:val="00AB18E7"/>
    <w:rsid w:val="00AB60BC"/>
    <w:rsid w:val="00AB7B55"/>
    <w:rsid w:val="00AC05E1"/>
    <w:rsid w:val="00AC0BBA"/>
    <w:rsid w:val="00AC0E4E"/>
    <w:rsid w:val="00AC1A3D"/>
    <w:rsid w:val="00AC51F2"/>
    <w:rsid w:val="00AC5B90"/>
    <w:rsid w:val="00AC6524"/>
    <w:rsid w:val="00AC72B7"/>
    <w:rsid w:val="00AC7CD3"/>
    <w:rsid w:val="00AD0AD2"/>
    <w:rsid w:val="00AD1327"/>
    <w:rsid w:val="00AD20F0"/>
    <w:rsid w:val="00AE3824"/>
    <w:rsid w:val="00AF04F6"/>
    <w:rsid w:val="00AF081D"/>
    <w:rsid w:val="00AF2731"/>
    <w:rsid w:val="00AF50FD"/>
    <w:rsid w:val="00AF7399"/>
    <w:rsid w:val="00B00CAD"/>
    <w:rsid w:val="00B01449"/>
    <w:rsid w:val="00B02570"/>
    <w:rsid w:val="00B03620"/>
    <w:rsid w:val="00B05551"/>
    <w:rsid w:val="00B057F3"/>
    <w:rsid w:val="00B06C29"/>
    <w:rsid w:val="00B06E13"/>
    <w:rsid w:val="00B12F95"/>
    <w:rsid w:val="00B13DE9"/>
    <w:rsid w:val="00B15352"/>
    <w:rsid w:val="00B15FD0"/>
    <w:rsid w:val="00B24E2C"/>
    <w:rsid w:val="00B273C5"/>
    <w:rsid w:val="00B278CC"/>
    <w:rsid w:val="00B310B8"/>
    <w:rsid w:val="00B3153F"/>
    <w:rsid w:val="00B31568"/>
    <w:rsid w:val="00B31877"/>
    <w:rsid w:val="00B33AC1"/>
    <w:rsid w:val="00B342D5"/>
    <w:rsid w:val="00B3457A"/>
    <w:rsid w:val="00B43BFB"/>
    <w:rsid w:val="00B44B5E"/>
    <w:rsid w:val="00B44EB3"/>
    <w:rsid w:val="00B45F86"/>
    <w:rsid w:val="00B502FB"/>
    <w:rsid w:val="00B5140B"/>
    <w:rsid w:val="00B515F2"/>
    <w:rsid w:val="00B52176"/>
    <w:rsid w:val="00B542C6"/>
    <w:rsid w:val="00B562B5"/>
    <w:rsid w:val="00B61FF0"/>
    <w:rsid w:val="00B6244F"/>
    <w:rsid w:val="00B654DF"/>
    <w:rsid w:val="00B70989"/>
    <w:rsid w:val="00B70AFB"/>
    <w:rsid w:val="00B718AE"/>
    <w:rsid w:val="00B71DE9"/>
    <w:rsid w:val="00B71E49"/>
    <w:rsid w:val="00B75029"/>
    <w:rsid w:val="00B761FB"/>
    <w:rsid w:val="00B825BA"/>
    <w:rsid w:val="00B827FF"/>
    <w:rsid w:val="00B843E9"/>
    <w:rsid w:val="00B85241"/>
    <w:rsid w:val="00B85460"/>
    <w:rsid w:val="00B859DF"/>
    <w:rsid w:val="00B86650"/>
    <w:rsid w:val="00B86FED"/>
    <w:rsid w:val="00B87A98"/>
    <w:rsid w:val="00B90186"/>
    <w:rsid w:val="00B90690"/>
    <w:rsid w:val="00B90DE7"/>
    <w:rsid w:val="00B928EC"/>
    <w:rsid w:val="00B92AC8"/>
    <w:rsid w:val="00B954CB"/>
    <w:rsid w:val="00B95C5A"/>
    <w:rsid w:val="00B97244"/>
    <w:rsid w:val="00BA4531"/>
    <w:rsid w:val="00BA4C04"/>
    <w:rsid w:val="00BA7623"/>
    <w:rsid w:val="00BB0A7C"/>
    <w:rsid w:val="00BB1304"/>
    <w:rsid w:val="00BB1827"/>
    <w:rsid w:val="00BB1CF4"/>
    <w:rsid w:val="00BB1F13"/>
    <w:rsid w:val="00BB3494"/>
    <w:rsid w:val="00BB52B8"/>
    <w:rsid w:val="00BC24E0"/>
    <w:rsid w:val="00BC5ED4"/>
    <w:rsid w:val="00BC7F31"/>
    <w:rsid w:val="00BD2A8C"/>
    <w:rsid w:val="00BE095F"/>
    <w:rsid w:val="00BE1F08"/>
    <w:rsid w:val="00BE4101"/>
    <w:rsid w:val="00BE4B38"/>
    <w:rsid w:val="00BE5089"/>
    <w:rsid w:val="00BE62D8"/>
    <w:rsid w:val="00BF005B"/>
    <w:rsid w:val="00BF205F"/>
    <w:rsid w:val="00BF3C73"/>
    <w:rsid w:val="00BF7772"/>
    <w:rsid w:val="00BF7F44"/>
    <w:rsid w:val="00C006CD"/>
    <w:rsid w:val="00C016F5"/>
    <w:rsid w:val="00C01DA3"/>
    <w:rsid w:val="00C031E9"/>
    <w:rsid w:val="00C0381D"/>
    <w:rsid w:val="00C05BFE"/>
    <w:rsid w:val="00C065BE"/>
    <w:rsid w:val="00C13422"/>
    <w:rsid w:val="00C15C38"/>
    <w:rsid w:val="00C1623A"/>
    <w:rsid w:val="00C16750"/>
    <w:rsid w:val="00C206A7"/>
    <w:rsid w:val="00C21F90"/>
    <w:rsid w:val="00C23231"/>
    <w:rsid w:val="00C24F82"/>
    <w:rsid w:val="00C27102"/>
    <w:rsid w:val="00C30A0C"/>
    <w:rsid w:val="00C317FD"/>
    <w:rsid w:val="00C31A14"/>
    <w:rsid w:val="00C31BE7"/>
    <w:rsid w:val="00C31C17"/>
    <w:rsid w:val="00C330A9"/>
    <w:rsid w:val="00C33AC2"/>
    <w:rsid w:val="00C345BF"/>
    <w:rsid w:val="00C348BF"/>
    <w:rsid w:val="00C364B4"/>
    <w:rsid w:val="00C42261"/>
    <w:rsid w:val="00C42468"/>
    <w:rsid w:val="00C46754"/>
    <w:rsid w:val="00C46BB6"/>
    <w:rsid w:val="00C474E8"/>
    <w:rsid w:val="00C476DF"/>
    <w:rsid w:val="00C500A4"/>
    <w:rsid w:val="00C5046C"/>
    <w:rsid w:val="00C52DD6"/>
    <w:rsid w:val="00C53A99"/>
    <w:rsid w:val="00C540E8"/>
    <w:rsid w:val="00C57480"/>
    <w:rsid w:val="00C60D83"/>
    <w:rsid w:val="00C612B1"/>
    <w:rsid w:val="00C6229D"/>
    <w:rsid w:val="00C62533"/>
    <w:rsid w:val="00C62B65"/>
    <w:rsid w:val="00C6323D"/>
    <w:rsid w:val="00C6564A"/>
    <w:rsid w:val="00C7320C"/>
    <w:rsid w:val="00C75856"/>
    <w:rsid w:val="00C75C32"/>
    <w:rsid w:val="00C76EAF"/>
    <w:rsid w:val="00C77620"/>
    <w:rsid w:val="00C812E9"/>
    <w:rsid w:val="00C82A62"/>
    <w:rsid w:val="00C90204"/>
    <w:rsid w:val="00C912D6"/>
    <w:rsid w:val="00C913BF"/>
    <w:rsid w:val="00C92147"/>
    <w:rsid w:val="00C97D72"/>
    <w:rsid w:val="00CA16EF"/>
    <w:rsid w:val="00CA292E"/>
    <w:rsid w:val="00CA533F"/>
    <w:rsid w:val="00CA761B"/>
    <w:rsid w:val="00CA78B0"/>
    <w:rsid w:val="00CB18FE"/>
    <w:rsid w:val="00CB22BE"/>
    <w:rsid w:val="00CB2CC2"/>
    <w:rsid w:val="00CB2F74"/>
    <w:rsid w:val="00CB3F21"/>
    <w:rsid w:val="00CB506F"/>
    <w:rsid w:val="00CB7777"/>
    <w:rsid w:val="00CB7C71"/>
    <w:rsid w:val="00CC002F"/>
    <w:rsid w:val="00CC0130"/>
    <w:rsid w:val="00CC1523"/>
    <w:rsid w:val="00CC1AF4"/>
    <w:rsid w:val="00CC2F63"/>
    <w:rsid w:val="00CC3352"/>
    <w:rsid w:val="00CC58CD"/>
    <w:rsid w:val="00CD04BF"/>
    <w:rsid w:val="00CD4523"/>
    <w:rsid w:val="00CD5067"/>
    <w:rsid w:val="00CD5662"/>
    <w:rsid w:val="00CD6916"/>
    <w:rsid w:val="00CD74B6"/>
    <w:rsid w:val="00CE06AC"/>
    <w:rsid w:val="00CE0BB6"/>
    <w:rsid w:val="00CE502A"/>
    <w:rsid w:val="00CE5996"/>
    <w:rsid w:val="00CE59BD"/>
    <w:rsid w:val="00CE5C52"/>
    <w:rsid w:val="00CF46BE"/>
    <w:rsid w:val="00CF5E53"/>
    <w:rsid w:val="00CF7C55"/>
    <w:rsid w:val="00D01A3F"/>
    <w:rsid w:val="00D10173"/>
    <w:rsid w:val="00D10F05"/>
    <w:rsid w:val="00D1262C"/>
    <w:rsid w:val="00D12F29"/>
    <w:rsid w:val="00D1338A"/>
    <w:rsid w:val="00D14A55"/>
    <w:rsid w:val="00D157F0"/>
    <w:rsid w:val="00D16148"/>
    <w:rsid w:val="00D1767C"/>
    <w:rsid w:val="00D20882"/>
    <w:rsid w:val="00D21297"/>
    <w:rsid w:val="00D22E46"/>
    <w:rsid w:val="00D25CEF"/>
    <w:rsid w:val="00D30364"/>
    <w:rsid w:val="00D311A2"/>
    <w:rsid w:val="00D31A63"/>
    <w:rsid w:val="00D3202D"/>
    <w:rsid w:val="00D3248A"/>
    <w:rsid w:val="00D324C6"/>
    <w:rsid w:val="00D33079"/>
    <w:rsid w:val="00D35075"/>
    <w:rsid w:val="00D351F1"/>
    <w:rsid w:val="00D362A9"/>
    <w:rsid w:val="00D3638F"/>
    <w:rsid w:val="00D4005C"/>
    <w:rsid w:val="00D40170"/>
    <w:rsid w:val="00D40A2A"/>
    <w:rsid w:val="00D419DB"/>
    <w:rsid w:val="00D4203E"/>
    <w:rsid w:val="00D43FE2"/>
    <w:rsid w:val="00D4570B"/>
    <w:rsid w:val="00D46AAA"/>
    <w:rsid w:val="00D47976"/>
    <w:rsid w:val="00D52956"/>
    <w:rsid w:val="00D54F6C"/>
    <w:rsid w:val="00D54F85"/>
    <w:rsid w:val="00D57681"/>
    <w:rsid w:val="00D6185D"/>
    <w:rsid w:val="00D65DB3"/>
    <w:rsid w:val="00D66A1B"/>
    <w:rsid w:val="00D709D9"/>
    <w:rsid w:val="00D73839"/>
    <w:rsid w:val="00D73DC8"/>
    <w:rsid w:val="00D76364"/>
    <w:rsid w:val="00D775B9"/>
    <w:rsid w:val="00D83BE0"/>
    <w:rsid w:val="00D85F31"/>
    <w:rsid w:val="00D8605D"/>
    <w:rsid w:val="00D86625"/>
    <w:rsid w:val="00D86782"/>
    <w:rsid w:val="00D8777E"/>
    <w:rsid w:val="00D9073E"/>
    <w:rsid w:val="00D90ADE"/>
    <w:rsid w:val="00D90C3A"/>
    <w:rsid w:val="00D91005"/>
    <w:rsid w:val="00D91294"/>
    <w:rsid w:val="00D914AF"/>
    <w:rsid w:val="00D9255D"/>
    <w:rsid w:val="00D9285D"/>
    <w:rsid w:val="00D93C5D"/>
    <w:rsid w:val="00D947EF"/>
    <w:rsid w:val="00DA2070"/>
    <w:rsid w:val="00DA2480"/>
    <w:rsid w:val="00DA284C"/>
    <w:rsid w:val="00DA28F3"/>
    <w:rsid w:val="00DA4D74"/>
    <w:rsid w:val="00DA569D"/>
    <w:rsid w:val="00DA5BD8"/>
    <w:rsid w:val="00DB1291"/>
    <w:rsid w:val="00DB27BD"/>
    <w:rsid w:val="00DB524E"/>
    <w:rsid w:val="00DB6ABC"/>
    <w:rsid w:val="00DB7519"/>
    <w:rsid w:val="00DB7ED7"/>
    <w:rsid w:val="00DC1171"/>
    <w:rsid w:val="00DC3A49"/>
    <w:rsid w:val="00DC73D6"/>
    <w:rsid w:val="00DC7C7E"/>
    <w:rsid w:val="00DD0F67"/>
    <w:rsid w:val="00DD3734"/>
    <w:rsid w:val="00DD65EF"/>
    <w:rsid w:val="00DE243C"/>
    <w:rsid w:val="00DE31E3"/>
    <w:rsid w:val="00DE484B"/>
    <w:rsid w:val="00DE5224"/>
    <w:rsid w:val="00DE79EF"/>
    <w:rsid w:val="00DF511C"/>
    <w:rsid w:val="00DF565C"/>
    <w:rsid w:val="00DF61E5"/>
    <w:rsid w:val="00DF6E70"/>
    <w:rsid w:val="00DF700F"/>
    <w:rsid w:val="00DF7052"/>
    <w:rsid w:val="00E02EED"/>
    <w:rsid w:val="00E0765B"/>
    <w:rsid w:val="00E0797D"/>
    <w:rsid w:val="00E119B4"/>
    <w:rsid w:val="00E12ECF"/>
    <w:rsid w:val="00E148EF"/>
    <w:rsid w:val="00E1595C"/>
    <w:rsid w:val="00E1646A"/>
    <w:rsid w:val="00E16858"/>
    <w:rsid w:val="00E17054"/>
    <w:rsid w:val="00E177D8"/>
    <w:rsid w:val="00E20473"/>
    <w:rsid w:val="00E2480B"/>
    <w:rsid w:val="00E24E1B"/>
    <w:rsid w:val="00E25069"/>
    <w:rsid w:val="00E277DF"/>
    <w:rsid w:val="00E30932"/>
    <w:rsid w:val="00E30F13"/>
    <w:rsid w:val="00E33BE8"/>
    <w:rsid w:val="00E35D4C"/>
    <w:rsid w:val="00E3785D"/>
    <w:rsid w:val="00E37FB0"/>
    <w:rsid w:val="00E42631"/>
    <w:rsid w:val="00E44B37"/>
    <w:rsid w:val="00E533DF"/>
    <w:rsid w:val="00E559F1"/>
    <w:rsid w:val="00E61E0F"/>
    <w:rsid w:val="00E62E18"/>
    <w:rsid w:val="00E64F34"/>
    <w:rsid w:val="00E65692"/>
    <w:rsid w:val="00E65B2C"/>
    <w:rsid w:val="00E70AEF"/>
    <w:rsid w:val="00E720FB"/>
    <w:rsid w:val="00E7230F"/>
    <w:rsid w:val="00E72A18"/>
    <w:rsid w:val="00E72CBD"/>
    <w:rsid w:val="00E75A8E"/>
    <w:rsid w:val="00E77E2C"/>
    <w:rsid w:val="00E8197D"/>
    <w:rsid w:val="00E83083"/>
    <w:rsid w:val="00E94155"/>
    <w:rsid w:val="00E950F5"/>
    <w:rsid w:val="00E96CDE"/>
    <w:rsid w:val="00EA00E4"/>
    <w:rsid w:val="00EA014A"/>
    <w:rsid w:val="00EA0B39"/>
    <w:rsid w:val="00EA1405"/>
    <w:rsid w:val="00EA2164"/>
    <w:rsid w:val="00EA3467"/>
    <w:rsid w:val="00EA51E7"/>
    <w:rsid w:val="00EA57FC"/>
    <w:rsid w:val="00EA7F4B"/>
    <w:rsid w:val="00EB220E"/>
    <w:rsid w:val="00EB3301"/>
    <w:rsid w:val="00EB5636"/>
    <w:rsid w:val="00EC04E9"/>
    <w:rsid w:val="00EC163D"/>
    <w:rsid w:val="00EC3ED9"/>
    <w:rsid w:val="00EC4FE8"/>
    <w:rsid w:val="00EC5640"/>
    <w:rsid w:val="00EC6547"/>
    <w:rsid w:val="00EC7020"/>
    <w:rsid w:val="00ED3642"/>
    <w:rsid w:val="00ED59B3"/>
    <w:rsid w:val="00ED6644"/>
    <w:rsid w:val="00EE1866"/>
    <w:rsid w:val="00EE38AF"/>
    <w:rsid w:val="00EE5756"/>
    <w:rsid w:val="00EE6674"/>
    <w:rsid w:val="00EE6747"/>
    <w:rsid w:val="00EF01C6"/>
    <w:rsid w:val="00EF1AFC"/>
    <w:rsid w:val="00EF2CDD"/>
    <w:rsid w:val="00EF3856"/>
    <w:rsid w:val="00F00F92"/>
    <w:rsid w:val="00F014BA"/>
    <w:rsid w:val="00F026AC"/>
    <w:rsid w:val="00F03AAA"/>
    <w:rsid w:val="00F04AE2"/>
    <w:rsid w:val="00F054F5"/>
    <w:rsid w:val="00F06229"/>
    <w:rsid w:val="00F0648C"/>
    <w:rsid w:val="00F066C2"/>
    <w:rsid w:val="00F069FA"/>
    <w:rsid w:val="00F1167F"/>
    <w:rsid w:val="00F13BC7"/>
    <w:rsid w:val="00F1540A"/>
    <w:rsid w:val="00F17A60"/>
    <w:rsid w:val="00F17E5D"/>
    <w:rsid w:val="00F24062"/>
    <w:rsid w:val="00F26B11"/>
    <w:rsid w:val="00F31240"/>
    <w:rsid w:val="00F318F3"/>
    <w:rsid w:val="00F328CE"/>
    <w:rsid w:val="00F33667"/>
    <w:rsid w:val="00F359DF"/>
    <w:rsid w:val="00F36832"/>
    <w:rsid w:val="00F40DFE"/>
    <w:rsid w:val="00F443B4"/>
    <w:rsid w:val="00F4580F"/>
    <w:rsid w:val="00F458A8"/>
    <w:rsid w:val="00F45CB6"/>
    <w:rsid w:val="00F46863"/>
    <w:rsid w:val="00F4750C"/>
    <w:rsid w:val="00F540C2"/>
    <w:rsid w:val="00F54BEC"/>
    <w:rsid w:val="00F552E4"/>
    <w:rsid w:val="00F565B7"/>
    <w:rsid w:val="00F5716B"/>
    <w:rsid w:val="00F57AAB"/>
    <w:rsid w:val="00F60578"/>
    <w:rsid w:val="00F61425"/>
    <w:rsid w:val="00F62E0C"/>
    <w:rsid w:val="00F6376D"/>
    <w:rsid w:val="00F64616"/>
    <w:rsid w:val="00F646B2"/>
    <w:rsid w:val="00F673E8"/>
    <w:rsid w:val="00F721B4"/>
    <w:rsid w:val="00F75A22"/>
    <w:rsid w:val="00F76F1E"/>
    <w:rsid w:val="00F77B27"/>
    <w:rsid w:val="00F8334D"/>
    <w:rsid w:val="00F8596B"/>
    <w:rsid w:val="00F87D89"/>
    <w:rsid w:val="00F87F69"/>
    <w:rsid w:val="00F93A24"/>
    <w:rsid w:val="00F93EE8"/>
    <w:rsid w:val="00F94799"/>
    <w:rsid w:val="00F94CEE"/>
    <w:rsid w:val="00F97A26"/>
    <w:rsid w:val="00FA0048"/>
    <w:rsid w:val="00FA1A30"/>
    <w:rsid w:val="00FA242D"/>
    <w:rsid w:val="00FA2659"/>
    <w:rsid w:val="00FA2D2F"/>
    <w:rsid w:val="00FA35B4"/>
    <w:rsid w:val="00FA3BAB"/>
    <w:rsid w:val="00FA4102"/>
    <w:rsid w:val="00FA5564"/>
    <w:rsid w:val="00FA5B05"/>
    <w:rsid w:val="00FA74ED"/>
    <w:rsid w:val="00FB064F"/>
    <w:rsid w:val="00FB06D0"/>
    <w:rsid w:val="00FB5061"/>
    <w:rsid w:val="00FB5B00"/>
    <w:rsid w:val="00FC00D9"/>
    <w:rsid w:val="00FC0B10"/>
    <w:rsid w:val="00FC2111"/>
    <w:rsid w:val="00FC4C9D"/>
    <w:rsid w:val="00FC4E11"/>
    <w:rsid w:val="00FC7AF4"/>
    <w:rsid w:val="00FD009F"/>
    <w:rsid w:val="00FD06B1"/>
    <w:rsid w:val="00FD2648"/>
    <w:rsid w:val="00FD320B"/>
    <w:rsid w:val="00FD5171"/>
    <w:rsid w:val="00FD5480"/>
    <w:rsid w:val="00FD5BDD"/>
    <w:rsid w:val="00FE2EBF"/>
    <w:rsid w:val="00FE52CB"/>
    <w:rsid w:val="00FE5CBB"/>
    <w:rsid w:val="00FE5F7A"/>
    <w:rsid w:val="00FE7263"/>
    <w:rsid w:val="00FE788E"/>
    <w:rsid w:val="00FF34FF"/>
    <w:rsid w:val="00FF3B60"/>
    <w:rsid w:val="00FF5695"/>
    <w:rsid w:val="00FF72E8"/>
    <w:rsid w:val="01045092"/>
    <w:rsid w:val="011922FE"/>
    <w:rsid w:val="01268A15"/>
    <w:rsid w:val="01280F78"/>
    <w:rsid w:val="0218361A"/>
    <w:rsid w:val="027EC1A9"/>
    <w:rsid w:val="030FDDEA"/>
    <w:rsid w:val="032E59B2"/>
    <w:rsid w:val="035CFD4F"/>
    <w:rsid w:val="03B911C6"/>
    <w:rsid w:val="04477183"/>
    <w:rsid w:val="04582C40"/>
    <w:rsid w:val="053B34E9"/>
    <w:rsid w:val="054FA887"/>
    <w:rsid w:val="05A0C4F3"/>
    <w:rsid w:val="05B9EDA9"/>
    <w:rsid w:val="06F428BB"/>
    <w:rsid w:val="070BEDE7"/>
    <w:rsid w:val="071E94C8"/>
    <w:rsid w:val="074599C6"/>
    <w:rsid w:val="079962D2"/>
    <w:rsid w:val="087C90A8"/>
    <w:rsid w:val="08D60A06"/>
    <w:rsid w:val="0919E56F"/>
    <w:rsid w:val="0921DF18"/>
    <w:rsid w:val="092C3029"/>
    <w:rsid w:val="0968C569"/>
    <w:rsid w:val="09695946"/>
    <w:rsid w:val="09935DDD"/>
    <w:rsid w:val="09C9FD29"/>
    <w:rsid w:val="0A1BFF7C"/>
    <w:rsid w:val="0A2E400B"/>
    <w:rsid w:val="0AE865B3"/>
    <w:rsid w:val="0B19CE88"/>
    <w:rsid w:val="0B2E223D"/>
    <w:rsid w:val="0B71B864"/>
    <w:rsid w:val="0B957F35"/>
    <w:rsid w:val="0BF05E59"/>
    <w:rsid w:val="0C062542"/>
    <w:rsid w:val="0C578366"/>
    <w:rsid w:val="0C87C14F"/>
    <w:rsid w:val="0CB8DBFB"/>
    <w:rsid w:val="0CBA3A1F"/>
    <w:rsid w:val="0CC48542"/>
    <w:rsid w:val="0CFB8D68"/>
    <w:rsid w:val="0D2EAF7D"/>
    <w:rsid w:val="0D3B214A"/>
    <w:rsid w:val="0D5527ED"/>
    <w:rsid w:val="0D88F91F"/>
    <w:rsid w:val="0DA98445"/>
    <w:rsid w:val="0E075CF5"/>
    <w:rsid w:val="0E09B4A0"/>
    <w:rsid w:val="0E1446AE"/>
    <w:rsid w:val="0E599872"/>
    <w:rsid w:val="0F6828F5"/>
    <w:rsid w:val="0FAC7CD9"/>
    <w:rsid w:val="0FB7B2C0"/>
    <w:rsid w:val="10E36800"/>
    <w:rsid w:val="10F3FCE9"/>
    <w:rsid w:val="116BAB28"/>
    <w:rsid w:val="117C9FCD"/>
    <w:rsid w:val="11817438"/>
    <w:rsid w:val="11863DAB"/>
    <w:rsid w:val="11DE23D8"/>
    <w:rsid w:val="11EC5DE6"/>
    <w:rsid w:val="125DAA7F"/>
    <w:rsid w:val="125F9464"/>
    <w:rsid w:val="1286CC1B"/>
    <w:rsid w:val="129013E9"/>
    <w:rsid w:val="12A73400"/>
    <w:rsid w:val="12B969E9"/>
    <w:rsid w:val="13DAA863"/>
    <w:rsid w:val="13DE8155"/>
    <w:rsid w:val="1478EF05"/>
    <w:rsid w:val="147B139C"/>
    <w:rsid w:val="14A37649"/>
    <w:rsid w:val="14AA467F"/>
    <w:rsid w:val="14B6345E"/>
    <w:rsid w:val="14CABCC4"/>
    <w:rsid w:val="14DC45A1"/>
    <w:rsid w:val="15069098"/>
    <w:rsid w:val="1518BEF8"/>
    <w:rsid w:val="1520CFA3"/>
    <w:rsid w:val="152DBAD3"/>
    <w:rsid w:val="157B2551"/>
    <w:rsid w:val="15DC6ECC"/>
    <w:rsid w:val="162566ED"/>
    <w:rsid w:val="1644F221"/>
    <w:rsid w:val="165445EE"/>
    <w:rsid w:val="1663AA48"/>
    <w:rsid w:val="16888B0F"/>
    <w:rsid w:val="1691990E"/>
    <w:rsid w:val="169D1A3B"/>
    <w:rsid w:val="16C36C1C"/>
    <w:rsid w:val="16F515C1"/>
    <w:rsid w:val="16FFCA87"/>
    <w:rsid w:val="17093E01"/>
    <w:rsid w:val="17B53044"/>
    <w:rsid w:val="1805A08E"/>
    <w:rsid w:val="184F0225"/>
    <w:rsid w:val="18523CAE"/>
    <w:rsid w:val="191A6D5F"/>
    <w:rsid w:val="19BE84B2"/>
    <w:rsid w:val="19DFB2ED"/>
    <w:rsid w:val="1A57751A"/>
    <w:rsid w:val="1A7999DB"/>
    <w:rsid w:val="1AA1F938"/>
    <w:rsid w:val="1AE9F6F1"/>
    <w:rsid w:val="1B220F2A"/>
    <w:rsid w:val="1B9D65C0"/>
    <w:rsid w:val="1BEB748A"/>
    <w:rsid w:val="1CE8A588"/>
    <w:rsid w:val="1CF5045A"/>
    <w:rsid w:val="1CF884A4"/>
    <w:rsid w:val="1D886022"/>
    <w:rsid w:val="1D9178CF"/>
    <w:rsid w:val="1DA75AFD"/>
    <w:rsid w:val="1DB34139"/>
    <w:rsid w:val="1DBD3D96"/>
    <w:rsid w:val="1DC5F077"/>
    <w:rsid w:val="1DCA735D"/>
    <w:rsid w:val="1E3EB899"/>
    <w:rsid w:val="1E4647C7"/>
    <w:rsid w:val="1E506946"/>
    <w:rsid w:val="1E8E4554"/>
    <w:rsid w:val="1F5562CB"/>
    <w:rsid w:val="1F905959"/>
    <w:rsid w:val="1FCFFAF1"/>
    <w:rsid w:val="1FD2137C"/>
    <w:rsid w:val="2014EAB1"/>
    <w:rsid w:val="202DCE9A"/>
    <w:rsid w:val="204A90D7"/>
    <w:rsid w:val="20E6729A"/>
    <w:rsid w:val="20E6D251"/>
    <w:rsid w:val="210C34A8"/>
    <w:rsid w:val="2193405C"/>
    <w:rsid w:val="21EA78F2"/>
    <w:rsid w:val="228ADE2B"/>
    <w:rsid w:val="2327712E"/>
    <w:rsid w:val="2385EF73"/>
    <w:rsid w:val="23D82D64"/>
    <w:rsid w:val="23DBEA8E"/>
    <w:rsid w:val="241407BA"/>
    <w:rsid w:val="24312187"/>
    <w:rsid w:val="24366F08"/>
    <w:rsid w:val="246DD907"/>
    <w:rsid w:val="246F3B3D"/>
    <w:rsid w:val="249118B8"/>
    <w:rsid w:val="24E2C8B3"/>
    <w:rsid w:val="25995708"/>
    <w:rsid w:val="25C76D3A"/>
    <w:rsid w:val="25CDE7E3"/>
    <w:rsid w:val="25E91964"/>
    <w:rsid w:val="25F61AB1"/>
    <w:rsid w:val="2709EC8D"/>
    <w:rsid w:val="27B55583"/>
    <w:rsid w:val="27DE80A8"/>
    <w:rsid w:val="28393860"/>
    <w:rsid w:val="28489692"/>
    <w:rsid w:val="2848EB79"/>
    <w:rsid w:val="285EABFC"/>
    <w:rsid w:val="28733E38"/>
    <w:rsid w:val="28985C4B"/>
    <w:rsid w:val="297C3675"/>
    <w:rsid w:val="298DD3BF"/>
    <w:rsid w:val="29A961CB"/>
    <w:rsid w:val="29BB9043"/>
    <w:rsid w:val="2A2C82B2"/>
    <w:rsid w:val="2A7939C3"/>
    <w:rsid w:val="2A9CFD22"/>
    <w:rsid w:val="2ACECA90"/>
    <w:rsid w:val="2AE68B2F"/>
    <w:rsid w:val="2B1C4997"/>
    <w:rsid w:val="2B59197F"/>
    <w:rsid w:val="2B95A47B"/>
    <w:rsid w:val="2BC309B0"/>
    <w:rsid w:val="2C799F34"/>
    <w:rsid w:val="2C96F66D"/>
    <w:rsid w:val="2CAFF934"/>
    <w:rsid w:val="2CBE2F08"/>
    <w:rsid w:val="2D0EBFD2"/>
    <w:rsid w:val="2D6C7DB2"/>
    <w:rsid w:val="2DFA6244"/>
    <w:rsid w:val="2E66D5DA"/>
    <w:rsid w:val="2EE36A0D"/>
    <w:rsid w:val="2EF154E2"/>
    <w:rsid w:val="2EFCA6A8"/>
    <w:rsid w:val="2F4480F3"/>
    <w:rsid w:val="2F47C996"/>
    <w:rsid w:val="3041D46A"/>
    <w:rsid w:val="309D23E0"/>
    <w:rsid w:val="30A67614"/>
    <w:rsid w:val="30A99D5C"/>
    <w:rsid w:val="30B02CEC"/>
    <w:rsid w:val="30D6C2BA"/>
    <w:rsid w:val="311358B0"/>
    <w:rsid w:val="312E1661"/>
    <w:rsid w:val="31F4CF71"/>
    <w:rsid w:val="32348505"/>
    <w:rsid w:val="326EEE0D"/>
    <w:rsid w:val="328B8A3C"/>
    <w:rsid w:val="32AFACB4"/>
    <w:rsid w:val="33FEF78A"/>
    <w:rsid w:val="342E6264"/>
    <w:rsid w:val="3463D1E4"/>
    <w:rsid w:val="34728B95"/>
    <w:rsid w:val="3490280F"/>
    <w:rsid w:val="34A8C9F8"/>
    <w:rsid w:val="34CEC67C"/>
    <w:rsid w:val="34E9AD59"/>
    <w:rsid w:val="3505EF52"/>
    <w:rsid w:val="353D34B6"/>
    <w:rsid w:val="35E8F8AE"/>
    <w:rsid w:val="35EEFD40"/>
    <w:rsid w:val="361DAD8F"/>
    <w:rsid w:val="365641E1"/>
    <w:rsid w:val="369592B7"/>
    <w:rsid w:val="3757E776"/>
    <w:rsid w:val="3785FDE6"/>
    <w:rsid w:val="37D8425B"/>
    <w:rsid w:val="384218E9"/>
    <w:rsid w:val="3842839A"/>
    <w:rsid w:val="3891D882"/>
    <w:rsid w:val="38D834FF"/>
    <w:rsid w:val="38EF8811"/>
    <w:rsid w:val="39790F1A"/>
    <w:rsid w:val="398A8BC0"/>
    <w:rsid w:val="399E3D6F"/>
    <w:rsid w:val="3A44E13C"/>
    <w:rsid w:val="3AA6A6B6"/>
    <w:rsid w:val="3AAFC308"/>
    <w:rsid w:val="3B1C6EBF"/>
    <w:rsid w:val="3B2C7306"/>
    <w:rsid w:val="3B5DDD32"/>
    <w:rsid w:val="3B8371B6"/>
    <w:rsid w:val="3B8B9275"/>
    <w:rsid w:val="3BD4137D"/>
    <w:rsid w:val="3BD60A4E"/>
    <w:rsid w:val="3BED276B"/>
    <w:rsid w:val="3C11DC15"/>
    <w:rsid w:val="3C5935D7"/>
    <w:rsid w:val="3C720C4A"/>
    <w:rsid w:val="3C9ECD09"/>
    <w:rsid w:val="3D2D0F92"/>
    <w:rsid w:val="3D31182A"/>
    <w:rsid w:val="3D6782FC"/>
    <w:rsid w:val="3D6D767D"/>
    <w:rsid w:val="3D886D9F"/>
    <w:rsid w:val="3D95A42F"/>
    <w:rsid w:val="3DEDBCE2"/>
    <w:rsid w:val="3E35BBE5"/>
    <w:rsid w:val="3E731B56"/>
    <w:rsid w:val="3E7E3522"/>
    <w:rsid w:val="3EAC7543"/>
    <w:rsid w:val="3EC38F1E"/>
    <w:rsid w:val="3EEF74EA"/>
    <w:rsid w:val="3F7720E1"/>
    <w:rsid w:val="3FC50129"/>
    <w:rsid w:val="400605B3"/>
    <w:rsid w:val="404CE52E"/>
    <w:rsid w:val="408F0219"/>
    <w:rsid w:val="40E47943"/>
    <w:rsid w:val="415283E9"/>
    <w:rsid w:val="41DAC7B9"/>
    <w:rsid w:val="41E87BA4"/>
    <w:rsid w:val="424EF132"/>
    <w:rsid w:val="4318D95B"/>
    <w:rsid w:val="43D00F17"/>
    <w:rsid w:val="43D47A7E"/>
    <w:rsid w:val="43E8F8D2"/>
    <w:rsid w:val="43F83950"/>
    <w:rsid w:val="444135DA"/>
    <w:rsid w:val="446CF157"/>
    <w:rsid w:val="454B7C55"/>
    <w:rsid w:val="455D3D10"/>
    <w:rsid w:val="45B34B38"/>
    <w:rsid w:val="45C8D4FC"/>
    <w:rsid w:val="4652B1BD"/>
    <w:rsid w:val="46AC9A80"/>
    <w:rsid w:val="46B7425C"/>
    <w:rsid w:val="46C5586D"/>
    <w:rsid w:val="470DDD34"/>
    <w:rsid w:val="47428CBF"/>
    <w:rsid w:val="47621EC4"/>
    <w:rsid w:val="478E69A9"/>
    <w:rsid w:val="486AFA65"/>
    <w:rsid w:val="48B8B9BD"/>
    <w:rsid w:val="48E03997"/>
    <w:rsid w:val="4917195D"/>
    <w:rsid w:val="49891E22"/>
    <w:rsid w:val="4A193837"/>
    <w:rsid w:val="4A35D5F7"/>
    <w:rsid w:val="4AB910DC"/>
    <w:rsid w:val="4B42C5B1"/>
    <w:rsid w:val="4B5BAF7A"/>
    <w:rsid w:val="4B9F4924"/>
    <w:rsid w:val="4BF31C14"/>
    <w:rsid w:val="4C010C5C"/>
    <w:rsid w:val="4CBA7F7A"/>
    <w:rsid w:val="4CD87EE4"/>
    <w:rsid w:val="4D10E520"/>
    <w:rsid w:val="4D17BE23"/>
    <w:rsid w:val="4D51BD4A"/>
    <w:rsid w:val="4D7FD3D7"/>
    <w:rsid w:val="4D953671"/>
    <w:rsid w:val="4E97E9D1"/>
    <w:rsid w:val="4E998480"/>
    <w:rsid w:val="4EBF3547"/>
    <w:rsid w:val="4F0AB4F6"/>
    <w:rsid w:val="4F8DB6C8"/>
    <w:rsid w:val="4FD57FAE"/>
    <w:rsid w:val="4FD9F36A"/>
    <w:rsid w:val="5022ABAF"/>
    <w:rsid w:val="502E865D"/>
    <w:rsid w:val="50940200"/>
    <w:rsid w:val="50C45C5E"/>
    <w:rsid w:val="50C90EFE"/>
    <w:rsid w:val="50FBF2D9"/>
    <w:rsid w:val="511475D4"/>
    <w:rsid w:val="5199D916"/>
    <w:rsid w:val="51A487DA"/>
    <w:rsid w:val="521856AD"/>
    <w:rsid w:val="52330225"/>
    <w:rsid w:val="5254115B"/>
    <w:rsid w:val="52A8109F"/>
    <w:rsid w:val="52AA3F24"/>
    <w:rsid w:val="52B8486C"/>
    <w:rsid w:val="52DABEB9"/>
    <w:rsid w:val="52DC8B6D"/>
    <w:rsid w:val="5321F452"/>
    <w:rsid w:val="53868647"/>
    <w:rsid w:val="53A26254"/>
    <w:rsid w:val="540FF0F7"/>
    <w:rsid w:val="5499A4BD"/>
    <w:rsid w:val="54A36E61"/>
    <w:rsid w:val="54F48293"/>
    <w:rsid w:val="552E5DBB"/>
    <w:rsid w:val="5534531D"/>
    <w:rsid w:val="558F24A3"/>
    <w:rsid w:val="56174C2F"/>
    <w:rsid w:val="56D9C3BC"/>
    <w:rsid w:val="56D9F806"/>
    <w:rsid w:val="56E36B65"/>
    <w:rsid w:val="5730032D"/>
    <w:rsid w:val="578A0519"/>
    <w:rsid w:val="57D74698"/>
    <w:rsid w:val="5810E742"/>
    <w:rsid w:val="581265D8"/>
    <w:rsid w:val="583E1C00"/>
    <w:rsid w:val="58A4B4F7"/>
    <w:rsid w:val="58B50B40"/>
    <w:rsid w:val="591C4E84"/>
    <w:rsid w:val="59398B1B"/>
    <w:rsid w:val="593A6E46"/>
    <w:rsid w:val="59450DD6"/>
    <w:rsid w:val="5961E984"/>
    <w:rsid w:val="59640DC5"/>
    <w:rsid w:val="5983D413"/>
    <w:rsid w:val="59973E92"/>
    <w:rsid w:val="59D420D3"/>
    <w:rsid w:val="5A8A7E05"/>
    <w:rsid w:val="5B24CF7A"/>
    <w:rsid w:val="5B401C95"/>
    <w:rsid w:val="5B7B0608"/>
    <w:rsid w:val="5BE6CA06"/>
    <w:rsid w:val="5BEFBBB3"/>
    <w:rsid w:val="5C3CB749"/>
    <w:rsid w:val="5C88C4A9"/>
    <w:rsid w:val="5C9AA084"/>
    <w:rsid w:val="5C9B7573"/>
    <w:rsid w:val="5C9B997D"/>
    <w:rsid w:val="5CD87158"/>
    <w:rsid w:val="5D26D17C"/>
    <w:rsid w:val="5D2A6357"/>
    <w:rsid w:val="5D387A05"/>
    <w:rsid w:val="5DC0A7BC"/>
    <w:rsid w:val="5E09B070"/>
    <w:rsid w:val="5E6BA3EE"/>
    <w:rsid w:val="5F03D1A6"/>
    <w:rsid w:val="5F2B14DA"/>
    <w:rsid w:val="601BB299"/>
    <w:rsid w:val="6042EE2D"/>
    <w:rsid w:val="60724CF9"/>
    <w:rsid w:val="6096D499"/>
    <w:rsid w:val="60A0CED2"/>
    <w:rsid w:val="60B0C8A6"/>
    <w:rsid w:val="6102EBE9"/>
    <w:rsid w:val="614E76CE"/>
    <w:rsid w:val="6183B793"/>
    <w:rsid w:val="61871379"/>
    <w:rsid w:val="6191BC06"/>
    <w:rsid w:val="61BABB00"/>
    <w:rsid w:val="6232BF0D"/>
    <w:rsid w:val="628C6A40"/>
    <w:rsid w:val="628E01AD"/>
    <w:rsid w:val="62959AD8"/>
    <w:rsid w:val="62F36F7F"/>
    <w:rsid w:val="63BE69AC"/>
    <w:rsid w:val="63FBA535"/>
    <w:rsid w:val="63FBC1DC"/>
    <w:rsid w:val="645EADC9"/>
    <w:rsid w:val="646CD602"/>
    <w:rsid w:val="647A0361"/>
    <w:rsid w:val="64CA2D39"/>
    <w:rsid w:val="64F7D96B"/>
    <w:rsid w:val="652C0C06"/>
    <w:rsid w:val="659069A4"/>
    <w:rsid w:val="6596FB16"/>
    <w:rsid w:val="65ADEA3B"/>
    <w:rsid w:val="662932E0"/>
    <w:rsid w:val="6667408C"/>
    <w:rsid w:val="66698FBE"/>
    <w:rsid w:val="66D1DAF7"/>
    <w:rsid w:val="66DC5A6B"/>
    <w:rsid w:val="67157D9D"/>
    <w:rsid w:val="67F8BABB"/>
    <w:rsid w:val="6845380D"/>
    <w:rsid w:val="687E9F51"/>
    <w:rsid w:val="68A94C54"/>
    <w:rsid w:val="68E1970E"/>
    <w:rsid w:val="69C2D02D"/>
    <w:rsid w:val="6A407048"/>
    <w:rsid w:val="6A4378E0"/>
    <w:rsid w:val="6A789236"/>
    <w:rsid w:val="6B23F454"/>
    <w:rsid w:val="6B483D19"/>
    <w:rsid w:val="6C0DCB47"/>
    <w:rsid w:val="6C7B398F"/>
    <w:rsid w:val="6CE358BD"/>
    <w:rsid w:val="6D27E5D9"/>
    <w:rsid w:val="6D2FB698"/>
    <w:rsid w:val="6D78525E"/>
    <w:rsid w:val="6DEAF2F3"/>
    <w:rsid w:val="6E087EE7"/>
    <w:rsid w:val="6E09C61D"/>
    <w:rsid w:val="6E1A61BB"/>
    <w:rsid w:val="6E72DAAE"/>
    <w:rsid w:val="6E85708F"/>
    <w:rsid w:val="6EB60170"/>
    <w:rsid w:val="6EBCB63E"/>
    <w:rsid w:val="6ED10C25"/>
    <w:rsid w:val="6F28E457"/>
    <w:rsid w:val="7097EDB6"/>
    <w:rsid w:val="709ADEB1"/>
    <w:rsid w:val="70A453C9"/>
    <w:rsid w:val="70A83E54"/>
    <w:rsid w:val="7116E28C"/>
    <w:rsid w:val="7122EE60"/>
    <w:rsid w:val="715C4317"/>
    <w:rsid w:val="716B2F58"/>
    <w:rsid w:val="71F09F7B"/>
    <w:rsid w:val="727CF575"/>
    <w:rsid w:val="72F3D299"/>
    <w:rsid w:val="7379C40C"/>
    <w:rsid w:val="73D09491"/>
    <w:rsid w:val="74157E87"/>
    <w:rsid w:val="745B36FA"/>
    <w:rsid w:val="74BE1ECA"/>
    <w:rsid w:val="753DBCBB"/>
    <w:rsid w:val="75655A14"/>
    <w:rsid w:val="756F4F53"/>
    <w:rsid w:val="758AC83E"/>
    <w:rsid w:val="75E2A906"/>
    <w:rsid w:val="760EBAD2"/>
    <w:rsid w:val="768C49A0"/>
    <w:rsid w:val="777117A8"/>
    <w:rsid w:val="780057EA"/>
    <w:rsid w:val="788F55CA"/>
    <w:rsid w:val="78C987A7"/>
    <w:rsid w:val="78D2289C"/>
    <w:rsid w:val="7906D2BC"/>
    <w:rsid w:val="79749941"/>
    <w:rsid w:val="79D3EC5F"/>
    <w:rsid w:val="7A44E16B"/>
    <w:rsid w:val="7A580A69"/>
    <w:rsid w:val="7A9939C0"/>
    <w:rsid w:val="7AEAC0C2"/>
    <w:rsid w:val="7B671E2D"/>
    <w:rsid w:val="7B723555"/>
    <w:rsid w:val="7BC8F184"/>
    <w:rsid w:val="7C1A8E2E"/>
    <w:rsid w:val="7C2FBE47"/>
    <w:rsid w:val="7C9FE3D7"/>
    <w:rsid w:val="7CE46B37"/>
    <w:rsid w:val="7D0FAD44"/>
    <w:rsid w:val="7D38DCDE"/>
    <w:rsid w:val="7D3B524E"/>
    <w:rsid w:val="7D9A2F5A"/>
    <w:rsid w:val="7DB4A4C9"/>
    <w:rsid w:val="7DC07379"/>
    <w:rsid w:val="7DDBB60E"/>
    <w:rsid w:val="7E0F0A9F"/>
    <w:rsid w:val="7E22925A"/>
    <w:rsid w:val="7E4409DD"/>
    <w:rsid w:val="7E4AADB6"/>
    <w:rsid w:val="7E754C62"/>
    <w:rsid w:val="7EF4FAC9"/>
    <w:rsid w:val="7F34EE96"/>
    <w:rsid w:val="7F4807F2"/>
    <w:rsid w:val="7F7F3C31"/>
    <w:rsid w:val="7FBFE66E"/>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95FD580"/>
  <w15:docId w15:val="{9DB0A2C3-4505-4431-AAF2-1FDC1DBB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3E1"/>
    <w:rPr>
      <w:rFonts w:ascii="Arial" w:hAnsi="Arial"/>
      <w:sz w:val="22"/>
      <w:szCs w:val="24"/>
      <w:lang w:eastAsia="en-US"/>
    </w:rPr>
  </w:style>
  <w:style w:type="paragraph" w:styleId="Heading1">
    <w:name w:val="heading 1"/>
    <w:basedOn w:val="Normal"/>
    <w:next w:val="Normal"/>
    <w:qFormat/>
    <w:rsid w:val="00AB2E51"/>
    <w:pPr>
      <w:keepNext/>
      <w:spacing w:before="240" w:after="60"/>
      <w:outlineLvl w:val="0"/>
    </w:pPr>
    <w:rPr>
      <w:rFonts w:cs="Arial"/>
      <w:b/>
      <w:bCs/>
      <w:kern w:val="32"/>
      <w:sz w:val="28"/>
      <w:szCs w:val="32"/>
    </w:rPr>
  </w:style>
  <w:style w:type="paragraph" w:styleId="Heading2">
    <w:name w:val="heading 2"/>
    <w:basedOn w:val="Normal"/>
    <w:next w:val="Normal"/>
    <w:qFormat/>
    <w:rsid w:val="00AB2E51"/>
    <w:pPr>
      <w:keepNext/>
      <w:spacing w:before="240" w:after="60"/>
      <w:outlineLvl w:val="1"/>
    </w:pPr>
    <w:rPr>
      <w:rFonts w:cs="Arial"/>
      <w:b/>
      <w:bCs/>
      <w:iCs/>
      <w:sz w:val="24"/>
      <w:szCs w:val="28"/>
    </w:rPr>
  </w:style>
  <w:style w:type="paragraph" w:styleId="Heading3">
    <w:name w:val="heading 3"/>
    <w:basedOn w:val="Normal"/>
    <w:next w:val="Normal"/>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ColorfulList-Accent11">
    <w:name w:val="Colorful List - Accent 11"/>
    <w:basedOn w:val="Normal"/>
    <w:uiPriority w:val="34"/>
    <w:qFormat/>
    <w:rsid w:val="00025328"/>
    <w:pPr>
      <w:ind w:left="720" w:hanging="357"/>
      <w:contextualSpacing/>
    </w:pPr>
    <w:rPr>
      <w:rFonts w:eastAsia="Times New Roman"/>
      <w:lang w:eastAsia="en-GB"/>
    </w:rPr>
  </w:style>
  <w:style w:type="table" w:styleId="TableGrid">
    <w:name w:val="Table Grid"/>
    <w:basedOn w:val="TableNormal"/>
    <w:rsid w:val="000F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Dot pt,No Spacing1,List Paragraph Char Char Char,Indicator Text,Numbered Para 1,Bullet 1,Bullet Points,MAIN CONTENT,List Paragraph2,Normal numbered,List Paragraph11,OBC Bullet,L,F5 List Paragraph"/>
    <w:basedOn w:val="Normal"/>
    <w:link w:val="ListParagraphChar"/>
    <w:uiPriority w:val="34"/>
    <w:qFormat/>
    <w:rsid w:val="00D83BE0"/>
    <w:pPr>
      <w:numPr>
        <w:ilvl w:val="1"/>
        <w:numId w:val="1"/>
      </w:numPr>
      <w:tabs>
        <w:tab w:val="left" w:pos="709"/>
      </w:tabs>
      <w:spacing w:after="240" w:line="259" w:lineRule="auto"/>
    </w:pPr>
    <w:rPr>
      <w:rFonts w:eastAsiaTheme="minorHAnsi" w:cs="Arial"/>
      <w:szCs w:val="22"/>
    </w:rPr>
  </w:style>
  <w:style w:type="paragraph" w:customStyle="1" w:styleId="paragraph">
    <w:name w:val="paragraph"/>
    <w:basedOn w:val="Normal"/>
    <w:rsid w:val="00D22E46"/>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D22E46"/>
  </w:style>
  <w:style w:type="character" w:customStyle="1" w:styleId="eop">
    <w:name w:val="eop"/>
    <w:basedOn w:val="DefaultParagraphFont"/>
    <w:rsid w:val="00D22E46"/>
  </w:style>
  <w:style w:type="character" w:customStyle="1" w:styleId="advancedproofingissue">
    <w:name w:val="advancedproofingissue"/>
    <w:basedOn w:val="DefaultParagraphFont"/>
    <w:rsid w:val="00D22E46"/>
  </w:style>
  <w:style w:type="paragraph" w:styleId="NormalWeb">
    <w:name w:val="Normal (Web)"/>
    <w:basedOn w:val="Normal"/>
    <w:uiPriority w:val="99"/>
    <w:unhideWhenUsed/>
    <w:rsid w:val="003509F0"/>
    <w:rPr>
      <w:rFonts w:ascii="Times New Roman" w:hAnsi="Times New Roman"/>
      <w:sz w:val="24"/>
    </w:rPr>
  </w:style>
  <w:style w:type="character" w:styleId="Hyperlink">
    <w:name w:val="Hyperlink"/>
    <w:basedOn w:val="DefaultParagraphFont"/>
    <w:uiPriority w:val="99"/>
    <w:unhideWhenUsed/>
    <w:rsid w:val="00AF081D"/>
    <w:rPr>
      <w:color w:val="0000FF" w:themeColor="hyperlink"/>
      <w:u w:val="single"/>
    </w:rPr>
  </w:style>
  <w:style w:type="paragraph" w:styleId="BalloonText">
    <w:name w:val="Balloon Text"/>
    <w:basedOn w:val="Normal"/>
    <w:link w:val="BalloonTextChar"/>
    <w:rsid w:val="00F46863"/>
    <w:rPr>
      <w:rFonts w:ascii="Tahoma" w:hAnsi="Tahoma" w:cs="Tahoma"/>
      <w:sz w:val="16"/>
      <w:szCs w:val="16"/>
    </w:rPr>
  </w:style>
  <w:style w:type="character" w:customStyle="1" w:styleId="BalloonTextChar">
    <w:name w:val="Balloon Text Char"/>
    <w:basedOn w:val="DefaultParagraphFont"/>
    <w:link w:val="BalloonText"/>
    <w:rsid w:val="00F46863"/>
    <w:rPr>
      <w:rFonts w:ascii="Tahoma" w:hAnsi="Tahoma" w:cs="Tahoma"/>
      <w:sz w:val="16"/>
      <w:szCs w:val="16"/>
      <w:lang w:eastAsia="en-US"/>
    </w:rPr>
  </w:style>
  <w:style w:type="character" w:customStyle="1" w:styleId="ListParagraphChar">
    <w:name w:val="List Paragraph Char"/>
    <w:aliases w:val="List Paragraph1 Char,Dot pt Char,No Spacing1 Char,List Paragraph Char Char Char Char,Indicator Text Char,Numbered Para 1 Char,Bullet 1 Char,Bullet Points Char,MAIN CONTENT Char,List Paragraph2 Char,Normal numbered Char,L Char"/>
    <w:basedOn w:val="DefaultParagraphFont"/>
    <w:link w:val="ListParagraph"/>
    <w:uiPriority w:val="34"/>
    <w:qFormat/>
    <w:locked/>
    <w:rsid w:val="00D83BE0"/>
    <w:rPr>
      <w:rFonts w:ascii="Arial" w:eastAsiaTheme="minorHAnsi" w:hAnsi="Arial" w:cs="Arial"/>
      <w:sz w:val="22"/>
      <w:szCs w:val="22"/>
      <w:lang w:eastAsia="en-US"/>
    </w:rPr>
  </w:style>
  <w:style w:type="character" w:styleId="CommentReference">
    <w:name w:val="annotation reference"/>
    <w:basedOn w:val="DefaultParagraphFont"/>
    <w:semiHidden/>
    <w:unhideWhenUsed/>
    <w:rsid w:val="006B7339"/>
    <w:rPr>
      <w:sz w:val="16"/>
      <w:szCs w:val="16"/>
    </w:rPr>
  </w:style>
  <w:style w:type="paragraph" w:styleId="CommentText">
    <w:name w:val="annotation text"/>
    <w:basedOn w:val="Normal"/>
    <w:link w:val="CommentTextChar"/>
    <w:unhideWhenUsed/>
    <w:rsid w:val="006B7339"/>
    <w:rPr>
      <w:sz w:val="20"/>
      <w:szCs w:val="20"/>
    </w:rPr>
  </w:style>
  <w:style w:type="character" w:customStyle="1" w:styleId="CommentTextChar">
    <w:name w:val="Comment Text Char"/>
    <w:basedOn w:val="DefaultParagraphFont"/>
    <w:link w:val="CommentText"/>
    <w:rsid w:val="006B7339"/>
    <w:rPr>
      <w:rFonts w:ascii="Arial" w:hAnsi="Arial"/>
      <w:lang w:eastAsia="en-US"/>
    </w:rPr>
  </w:style>
  <w:style w:type="paragraph" w:styleId="CommentSubject">
    <w:name w:val="annotation subject"/>
    <w:basedOn w:val="CommentText"/>
    <w:next w:val="CommentText"/>
    <w:link w:val="CommentSubjectChar"/>
    <w:semiHidden/>
    <w:unhideWhenUsed/>
    <w:rsid w:val="006B7339"/>
    <w:rPr>
      <w:b/>
      <w:bCs/>
    </w:rPr>
  </w:style>
  <w:style w:type="character" w:customStyle="1" w:styleId="CommentSubjectChar">
    <w:name w:val="Comment Subject Char"/>
    <w:basedOn w:val="CommentTextChar"/>
    <w:link w:val="CommentSubject"/>
    <w:semiHidden/>
    <w:rsid w:val="006B7339"/>
    <w:rPr>
      <w:rFonts w:ascii="Arial" w:hAnsi="Arial"/>
      <w:b/>
      <w:bCs/>
      <w:lang w:eastAsia="en-US"/>
    </w:rPr>
  </w:style>
  <w:style w:type="character" w:styleId="FollowedHyperlink">
    <w:name w:val="FollowedHyperlink"/>
    <w:basedOn w:val="DefaultParagraphFont"/>
    <w:semiHidden/>
    <w:unhideWhenUsed/>
    <w:rsid w:val="009D2A99"/>
    <w:rPr>
      <w:color w:val="800080" w:themeColor="followedHyperlink"/>
      <w:u w:val="single"/>
    </w:rPr>
  </w:style>
  <w:style w:type="paragraph" w:styleId="Revision">
    <w:name w:val="Revision"/>
    <w:hidden/>
    <w:uiPriority w:val="71"/>
    <w:semiHidden/>
    <w:rsid w:val="00A16D85"/>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D47976"/>
    <w:rPr>
      <w:color w:val="605E5C"/>
      <w:shd w:val="clear" w:color="auto" w:fill="E1DFDD"/>
    </w:rPr>
  </w:style>
  <w:style w:type="character" w:customStyle="1" w:styleId="UnresolvedMention2">
    <w:name w:val="Unresolved Mention2"/>
    <w:basedOn w:val="DefaultParagraphFont"/>
    <w:uiPriority w:val="99"/>
    <w:semiHidden/>
    <w:unhideWhenUsed/>
    <w:rsid w:val="007657FF"/>
    <w:rPr>
      <w:color w:val="605E5C"/>
      <w:shd w:val="clear" w:color="auto" w:fill="E1DFDD"/>
    </w:rPr>
  </w:style>
  <w:style w:type="paragraph" w:styleId="PlainText">
    <w:name w:val="Plain Text"/>
    <w:basedOn w:val="Normal"/>
    <w:link w:val="PlainTextChar"/>
    <w:semiHidden/>
    <w:unhideWhenUsed/>
    <w:rsid w:val="00397223"/>
    <w:rPr>
      <w:rFonts w:ascii="Consolas" w:hAnsi="Consolas"/>
      <w:sz w:val="21"/>
      <w:szCs w:val="21"/>
    </w:rPr>
  </w:style>
  <w:style w:type="character" w:customStyle="1" w:styleId="PlainTextChar">
    <w:name w:val="Plain Text Char"/>
    <w:basedOn w:val="DefaultParagraphFont"/>
    <w:link w:val="PlainText"/>
    <w:semiHidden/>
    <w:rsid w:val="00397223"/>
    <w:rPr>
      <w:rFonts w:ascii="Consolas" w:hAnsi="Consolas"/>
      <w:sz w:val="21"/>
      <w:szCs w:val="21"/>
      <w:lang w:eastAsia="en-US"/>
    </w:rPr>
  </w:style>
  <w:style w:type="character" w:styleId="UnresolvedMention">
    <w:name w:val="Unresolved Mention"/>
    <w:basedOn w:val="DefaultParagraphFont"/>
    <w:uiPriority w:val="99"/>
    <w:unhideWhenUsed/>
    <w:rsid w:val="00397223"/>
    <w:rPr>
      <w:color w:val="605E5C"/>
      <w:shd w:val="clear" w:color="auto" w:fill="E1DFDD"/>
    </w:rPr>
  </w:style>
  <w:style w:type="character" w:customStyle="1" w:styleId="UnresolvedMention3">
    <w:name w:val="Unresolved Mention3"/>
    <w:basedOn w:val="DefaultParagraphFont"/>
    <w:uiPriority w:val="99"/>
    <w:semiHidden/>
    <w:unhideWhenUsed/>
    <w:rsid w:val="0068338B"/>
    <w:rPr>
      <w:color w:val="605E5C"/>
      <w:shd w:val="clear" w:color="auto" w:fill="E1DFDD"/>
    </w:rPr>
  </w:style>
  <w:style w:type="paragraph" w:styleId="FootnoteText">
    <w:name w:val="footnote text"/>
    <w:basedOn w:val="Normal"/>
    <w:link w:val="FootnoteTextChar"/>
    <w:semiHidden/>
    <w:unhideWhenUsed/>
    <w:rsid w:val="0068338B"/>
    <w:rPr>
      <w:sz w:val="20"/>
      <w:szCs w:val="20"/>
    </w:rPr>
  </w:style>
  <w:style w:type="character" w:customStyle="1" w:styleId="FootnoteTextChar">
    <w:name w:val="Footnote Text Char"/>
    <w:basedOn w:val="DefaultParagraphFont"/>
    <w:link w:val="FootnoteText"/>
    <w:semiHidden/>
    <w:rsid w:val="0068338B"/>
    <w:rPr>
      <w:rFonts w:ascii="Arial" w:hAnsi="Arial"/>
      <w:lang w:eastAsia="en-US"/>
    </w:rPr>
  </w:style>
  <w:style w:type="character" w:styleId="FootnoteReference">
    <w:name w:val="footnote reference"/>
    <w:basedOn w:val="DefaultParagraphFont"/>
    <w:semiHidden/>
    <w:unhideWhenUsed/>
    <w:rsid w:val="0068338B"/>
    <w:rPr>
      <w:vertAlign w:val="superscript"/>
    </w:rPr>
  </w:style>
  <w:style w:type="character" w:styleId="Mention">
    <w:name w:val="Mention"/>
    <w:basedOn w:val="DefaultParagraphFont"/>
    <w:uiPriority w:val="99"/>
    <w:unhideWhenUsed/>
    <w:rsid w:val="0068338B"/>
    <w:rPr>
      <w:color w:val="2B579A"/>
      <w:shd w:val="clear" w:color="auto" w:fill="E1DFDD"/>
    </w:rPr>
  </w:style>
  <w:style w:type="character" w:customStyle="1" w:styleId="spellingerror">
    <w:name w:val="spellingerror"/>
    <w:basedOn w:val="DefaultParagraphFont"/>
    <w:rsid w:val="00FA2D2F"/>
  </w:style>
  <w:style w:type="paragraph" w:styleId="BodyText">
    <w:name w:val="Body Text"/>
    <w:basedOn w:val="Normal"/>
    <w:link w:val="BodyTextChar"/>
    <w:uiPriority w:val="1"/>
    <w:qFormat/>
    <w:rsid w:val="006F4C57"/>
    <w:pPr>
      <w:widowControl w:val="0"/>
      <w:ind w:left="738" w:hanging="566"/>
    </w:pPr>
    <w:rPr>
      <w:rFonts w:eastAsia="Arial" w:cstheme="minorBidi"/>
      <w:szCs w:val="22"/>
      <w:lang w:val="en-US"/>
    </w:rPr>
  </w:style>
  <w:style w:type="character" w:customStyle="1" w:styleId="BodyTextChar">
    <w:name w:val="Body Text Char"/>
    <w:basedOn w:val="DefaultParagraphFont"/>
    <w:link w:val="BodyText"/>
    <w:uiPriority w:val="1"/>
    <w:rsid w:val="006F4C57"/>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053">
      <w:bodyDiv w:val="1"/>
      <w:marLeft w:val="0"/>
      <w:marRight w:val="0"/>
      <w:marTop w:val="0"/>
      <w:marBottom w:val="0"/>
      <w:divBdr>
        <w:top w:val="none" w:sz="0" w:space="0" w:color="auto"/>
        <w:left w:val="none" w:sz="0" w:space="0" w:color="auto"/>
        <w:bottom w:val="none" w:sz="0" w:space="0" w:color="auto"/>
        <w:right w:val="none" w:sz="0" w:space="0" w:color="auto"/>
      </w:divBdr>
      <w:divsChild>
        <w:div w:id="1176385620">
          <w:marLeft w:val="0"/>
          <w:marRight w:val="0"/>
          <w:marTop w:val="0"/>
          <w:marBottom w:val="0"/>
          <w:divBdr>
            <w:top w:val="none" w:sz="0" w:space="0" w:color="auto"/>
            <w:left w:val="none" w:sz="0" w:space="0" w:color="auto"/>
            <w:bottom w:val="none" w:sz="0" w:space="0" w:color="auto"/>
            <w:right w:val="none" w:sz="0" w:space="0" w:color="auto"/>
          </w:divBdr>
        </w:div>
      </w:divsChild>
    </w:div>
    <w:div w:id="69472204">
      <w:bodyDiv w:val="1"/>
      <w:marLeft w:val="0"/>
      <w:marRight w:val="0"/>
      <w:marTop w:val="0"/>
      <w:marBottom w:val="0"/>
      <w:divBdr>
        <w:top w:val="none" w:sz="0" w:space="0" w:color="auto"/>
        <w:left w:val="none" w:sz="0" w:space="0" w:color="auto"/>
        <w:bottom w:val="none" w:sz="0" w:space="0" w:color="auto"/>
        <w:right w:val="none" w:sz="0" w:space="0" w:color="auto"/>
      </w:divBdr>
      <w:divsChild>
        <w:div w:id="665211656">
          <w:marLeft w:val="0"/>
          <w:marRight w:val="0"/>
          <w:marTop w:val="0"/>
          <w:marBottom w:val="0"/>
          <w:divBdr>
            <w:top w:val="none" w:sz="0" w:space="0" w:color="auto"/>
            <w:left w:val="none" w:sz="0" w:space="0" w:color="auto"/>
            <w:bottom w:val="none" w:sz="0" w:space="0" w:color="auto"/>
            <w:right w:val="none" w:sz="0" w:space="0" w:color="auto"/>
          </w:divBdr>
        </w:div>
      </w:divsChild>
    </w:div>
    <w:div w:id="247928199">
      <w:bodyDiv w:val="1"/>
      <w:marLeft w:val="0"/>
      <w:marRight w:val="0"/>
      <w:marTop w:val="0"/>
      <w:marBottom w:val="0"/>
      <w:divBdr>
        <w:top w:val="none" w:sz="0" w:space="0" w:color="auto"/>
        <w:left w:val="none" w:sz="0" w:space="0" w:color="auto"/>
        <w:bottom w:val="none" w:sz="0" w:space="0" w:color="auto"/>
        <w:right w:val="none" w:sz="0" w:space="0" w:color="auto"/>
      </w:divBdr>
      <w:divsChild>
        <w:div w:id="1817067885">
          <w:marLeft w:val="0"/>
          <w:marRight w:val="0"/>
          <w:marTop w:val="0"/>
          <w:marBottom w:val="0"/>
          <w:divBdr>
            <w:top w:val="none" w:sz="0" w:space="0" w:color="auto"/>
            <w:left w:val="none" w:sz="0" w:space="0" w:color="auto"/>
            <w:bottom w:val="none" w:sz="0" w:space="0" w:color="auto"/>
            <w:right w:val="none" w:sz="0" w:space="0" w:color="auto"/>
          </w:divBdr>
        </w:div>
      </w:divsChild>
    </w:div>
    <w:div w:id="335614910">
      <w:bodyDiv w:val="1"/>
      <w:marLeft w:val="0"/>
      <w:marRight w:val="0"/>
      <w:marTop w:val="0"/>
      <w:marBottom w:val="0"/>
      <w:divBdr>
        <w:top w:val="none" w:sz="0" w:space="0" w:color="auto"/>
        <w:left w:val="none" w:sz="0" w:space="0" w:color="auto"/>
        <w:bottom w:val="none" w:sz="0" w:space="0" w:color="auto"/>
        <w:right w:val="none" w:sz="0" w:space="0" w:color="auto"/>
      </w:divBdr>
    </w:div>
    <w:div w:id="387995892">
      <w:bodyDiv w:val="1"/>
      <w:marLeft w:val="0"/>
      <w:marRight w:val="0"/>
      <w:marTop w:val="0"/>
      <w:marBottom w:val="0"/>
      <w:divBdr>
        <w:top w:val="none" w:sz="0" w:space="0" w:color="auto"/>
        <w:left w:val="none" w:sz="0" w:space="0" w:color="auto"/>
        <w:bottom w:val="none" w:sz="0" w:space="0" w:color="auto"/>
        <w:right w:val="none" w:sz="0" w:space="0" w:color="auto"/>
      </w:divBdr>
    </w:div>
    <w:div w:id="454980202">
      <w:bodyDiv w:val="1"/>
      <w:marLeft w:val="0"/>
      <w:marRight w:val="0"/>
      <w:marTop w:val="0"/>
      <w:marBottom w:val="0"/>
      <w:divBdr>
        <w:top w:val="none" w:sz="0" w:space="0" w:color="auto"/>
        <w:left w:val="none" w:sz="0" w:space="0" w:color="auto"/>
        <w:bottom w:val="none" w:sz="0" w:space="0" w:color="auto"/>
        <w:right w:val="none" w:sz="0" w:space="0" w:color="auto"/>
      </w:divBdr>
    </w:div>
    <w:div w:id="470439379">
      <w:bodyDiv w:val="1"/>
      <w:marLeft w:val="0"/>
      <w:marRight w:val="0"/>
      <w:marTop w:val="0"/>
      <w:marBottom w:val="0"/>
      <w:divBdr>
        <w:top w:val="none" w:sz="0" w:space="0" w:color="auto"/>
        <w:left w:val="none" w:sz="0" w:space="0" w:color="auto"/>
        <w:bottom w:val="none" w:sz="0" w:space="0" w:color="auto"/>
        <w:right w:val="none" w:sz="0" w:space="0" w:color="auto"/>
      </w:divBdr>
    </w:div>
    <w:div w:id="646858841">
      <w:bodyDiv w:val="1"/>
      <w:marLeft w:val="0"/>
      <w:marRight w:val="0"/>
      <w:marTop w:val="0"/>
      <w:marBottom w:val="0"/>
      <w:divBdr>
        <w:top w:val="none" w:sz="0" w:space="0" w:color="auto"/>
        <w:left w:val="none" w:sz="0" w:space="0" w:color="auto"/>
        <w:bottom w:val="none" w:sz="0" w:space="0" w:color="auto"/>
        <w:right w:val="none" w:sz="0" w:space="0" w:color="auto"/>
      </w:divBdr>
    </w:div>
    <w:div w:id="670765796">
      <w:bodyDiv w:val="1"/>
      <w:marLeft w:val="0"/>
      <w:marRight w:val="0"/>
      <w:marTop w:val="0"/>
      <w:marBottom w:val="0"/>
      <w:divBdr>
        <w:top w:val="none" w:sz="0" w:space="0" w:color="auto"/>
        <w:left w:val="none" w:sz="0" w:space="0" w:color="auto"/>
        <w:bottom w:val="none" w:sz="0" w:space="0" w:color="auto"/>
        <w:right w:val="none" w:sz="0" w:space="0" w:color="auto"/>
      </w:divBdr>
      <w:divsChild>
        <w:div w:id="98453948">
          <w:marLeft w:val="1166"/>
          <w:marRight w:val="0"/>
          <w:marTop w:val="0"/>
          <w:marBottom w:val="0"/>
          <w:divBdr>
            <w:top w:val="none" w:sz="0" w:space="0" w:color="auto"/>
            <w:left w:val="none" w:sz="0" w:space="0" w:color="auto"/>
            <w:bottom w:val="none" w:sz="0" w:space="0" w:color="auto"/>
            <w:right w:val="none" w:sz="0" w:space="0" w:color="auto"/>
          </w:divBdr>
        </w:div>
        <w:div w:id="504321500">
          <w:marLeft w:val="547"/>
          <w:marRight w:val="0"/>
          <w:marTop w:val="0"/>
          <w:marBottom w:val="0"/>
          <w:divBdr>
            <w:top w:val="none" w:sz="0" w:space="0" w:color="auto"/>
            <w:left w:val="none" w:sz="0" w:space="0" w:color="auto"/>
            <w:bottom w:val="none" w:sz="0" w:space="0" w:color="auto"/>
            <w:right w:val="none" w:sz="0" w:space="0" w:color="auto"/>
          </w:divBdr>
        </w:div>
        <w:div w:id="684284953">
          <w:marLeft w:val="1166"/>
          <w:marRight w:val="0"/>
          <w:marTop w:val="0"/>
          <w:marBottom w:val="0"/>
          <w:divBdr>
            <w:top w:val="none" w:sz="0" w:space="0" w:color="auto"/>
            <w:left w:val="none" w:sz="0" w:space="0" w:color="auto"/>
            <w:bottom w:val="none" w:sz="0" w:space="0" w:color="auto"/>
            <w:right w:val="none" w:sz="0" w:space="0" w:color="auto"/>
          </w:divBdr>
        </w:div>
        <w:div w:id="1098600545">
          <w:marLeft w:val="1166"/>
          <w:marRight w:val="0"/>
          <w:marTop w:val="0"/>
          <w:marBottom w:val="0"/>
          <w:divBdr>
            <w:top w:val="none" w:sz="0" w:space="0" w:color="auto"/>
            <w:left w:val="none" w:sz="0" w:space="0" w:color="auto"/>
            <w:bottom w:val="none" w:sz="0" w:space="0" w:color="auto"/>
            <w:right w:val="none" w:sz="0" w:space="0" w:color="auto"/>
          </w:divBdr>
        </w:div>
        <w:div w:id="1114979761">
          <w:marLeft w:val="1166"/>
          <w:marRight w:val="0"/>
          <w:marTop w:val="0"/>
          <w:marBottom w:val="0"/>
          <w:divBdr>
            <w:top w:val="none" w:sz="0" w:space="0" w:color="auto"/>
            <w:left w:val="none" w:sz="0" w:space="0" w:color="auto"/>
            <w:bottom w:val="none" w:sz="0" w:space="0" w:color="auto"/>
            <w:right w:val="none" w:sz="0" w:space="0" w:color="auto"/>
          </w:divBdr>
        </w:div>
        <w:div w:id="1294554623">
          <w:marLeft w:val="1166"/>
          <w:marRight w:val="0"/>
          <w:marTop w:val="0"/>
          <w:marBottom w:val="0"/>
          <w:divBdr>
            <w:top w:val="none" w:sz="0" w:space="0" w:color="auto"/>
            <w:left w:val="none" w:sz="0" w:space="0" w:color="auto"/>
            <w:bottom w:val="none" w:sz="0" w:space="0" w:color="auto"/>
            <w:right w:val="none" w:sz="0" w:space="0" w:color="auto"/>
          </w:divBdr>
        </w:div>
        <w:div w:id="1717312712">
          <w:marLeft w:val="1166"/>
          <w:marRight w:val="0"/>
          <w:marTop w:val="0"/>
          <w:marBottom w:val="0"/>
          <w:divBdr>
            <w:top w:val="none" w:sz="0" w:space="0" w:color="auto"/>
            <w:left w:val="none" w:sz="0" w:space="0" w:color="auto"/>
            <w:bottom w:val="none" w:sz="0" w:space="0" w:color="auto"/>
            <w:right w:val="none" w:sz="0" w:space="0" w:color="auto"/>
          </w:divBdr>
        </w:div>
        <w:div w:id="1926451708">
          <w:marLeft w:val="1166"/>
          <w:marRight w:val="0"/>
          <w:marTop w:val="0"/>
          <w:marBottom w:val="0"/>
          <w:divBdr>
            <w:top w:val="none" w:sz="0" w:space="0" w:color="auto"/>
            <w:left w:val="none" w:sz="0" w:space="0" w:color="auto"/>
            <w:bottom w:val="none" w:sz="0" w:space="0" w:color="auto"/>
            <w:right w:val="none" w:sz="0" w:space="0" w:color="auto"/>
          </w:divBdr>
        </w:div>
        <w:div w:id="1975602227">
          <w:marLeft w:val="1166"/>
          <w:marRight w:val="0"/>
          <w:marTop w:val="0"/>
          <w:marBottom w:val="0"/>
          <w:divBdr>
            <w:top w:val="none" w:sz="0" w:space="0" w:color="auto"/>
            <w:left w:val="none" w:sz="0" w:space="0" w:color="auto"/>
            <w:bottom w:val="none" w:sz="0" w:space="0" w:color="auto"/>
            <w:right w:val="none" w:sz="0" w:space="0" w:color="auto"/>
          </w:divBdr>
        </w:div>
      </w:divsChild>
    </w:div>
    <w:div w:id="727534410">
      <w:bodyDiv w:val="1"/>
      <w:marLeft w:val="0"/>
      <w:marRight w:val="0"/>
      <w:marTop w:val="0"/>
      <w:marBottom w:val="0"/>
      <w:divBdr>
        <w:top w:val="none" w:sz="0" w:space="0" w:color="auto"/>
        <w:left w:val="none" w:sz="0" w:space="0" w:color="auto"/>
        <w:bottom w:val="none" w:sz="0" w:space="0" w:color="auto"/>
        <w:right w:val="none" w:sz="0" w:space="0" w:color="auto"/>
      </w:divBdr>
    </w:div>
    <w:div w:id="740248756">
      <w:bodyDiv w:val="1"/>
      <w:marLeft w:val="0"/>
      <w:marRight w:val="0"/>
      <w:marTop w:val="0"/>
      <w:marBottom w:val="0"/>
      <w:divBdr>
        <w:top w:val="none" w:sz="0" w:space="0" w:color="auto"/>
        <w:left w:val="none" w:sz="0" w:space="0" w:color="auto"/>
        <w:bottom w:val="none" w:sz="0" w:space="0" w:color="auto"/>
        <w:right w:val="none" w:sz="0" w:space="0" w:color="auto"/>
      </w:divBdr>
    </w:div>
    <w:div w:id="922765440">
      <w:bodyDiv w:val="1"/>
      <w:marLeft w:val="0"/>
      <w:marRight w:val="0"/>
      <w:marTop w:val="0"/>
      <w:marBottom w:val="0"/>
      <w:divBdr>
        <w:top w:val="none" w:sz="0" w:space="0" w:color="auto"/>
        <w:left w:val="none" w:sz="0" w:space="0" w:color="auto"/>
        <w:bottom w:val="none" w:sz="0" w:space="0" w:color="auto"/>
        <w:right w:val="none" w:sz="0" w:space="0" w:color="auto"/>
      </w:divBdr>
    </w:div>
    <w:div w:id="992876011">
      <w:bodyDiv w:val="1"/>
      <w:marLeft w:val="0"/>
      <w:marRight w:val="0"/>
      <w:marTop w:val="0"/>
      <w:marBottom w:val="0"/>
      <w:divBdr>
        <w:top w:val="none" w:sz="0" w:space="0" w:color="auto"/>
        <w:left w:val="none" w:sz="0" w:space="0" w:color="auto"/>
        <w:bottom w:val="none" w:sz="0" w:space="0" w:color="auto"/>
        <w:right w:val="none" w:sz="0" w:space="0" w:color="auto"/>
      </w:divBdr>
    </w:div>
    <w:div w:id="1089471705">
      <w:bodyDiv w:val="1"/>
      <w:marLeft w:val="0"/>
      <w:marRight w:val="0"/>
      <w:marTop w:val="0"/>
      <w:marBottom w:val="0"/>
      <w:divBdr>
        <w:top w:val="none" w:sz="0" w:space="0" w:color="auto"/>
        <w:left w:val="none" w:sz="0" w:space="0" w:color="auto"/>
        <w:bottom w:val="none" w:sz="0" w:space="0" w:color="auto"/>
        <w:right w:val="none" w:sz="0" w:space="0" w:color="auto"/>
      </w:divBdr>
      <w:divsChild>
        <w:div w:id="158811893">
          <w:marLeft w:val="0"/>
          <w:marRight w:val="0"/>
          <w:marTop w:val="0"/>
          <w:marBottom w:val="0"/>
          <w:divBdr>
            <w:top w:val="none" w:sz="0" w:space="0" w:color="auto"/>
            <w:left w:val="none" w:sz="0" w:space="0" w:color="auto"/>
            <w:bottom w:val="none" w:sz="0" w:space="0" w:color="auto"/>
            <w:right w:val="none" w:sz="0" w:space="0" w:color="auto"/>
          </w:divBdr>
        </w:div>
        <w:div w:id="637998355">
          <w:marLeft w:val="0"/>
          <w:marRight w:val="0"/>
          <w:marTop w:val="0"/>
          <w:marBottom w:val="0"/>
          <w:divBdr>
            <w:top w:val="none" w:sz="0" w:space="0" w:color="auto"/>
            <w:left w:val="none" w:sz="0" w:space="0" w:color="auto"/>
            <w:bottom w:val="none" w:sz="0" w:space="0" w:color="auto"/>
            <w:right w:val="none" w:sz="0" w:space="0" w:color="auto"/>
          </w:divBdr>
        </w:div>
        <w:div w:id="1414934465">
          <w:marLeft w:val="0"/>
          <w:marRight w:val="0"/>
          <w:marTop w:val="0"/>
          <w:marBottom w:val="0"/>
          <w:divBdr>
            <w:top w:val="none" w:sz="0" w:space="0" w:color="auto"/>
            <w:left w:val="none" w:sz="0" w:space="0" w:color="auto"/>
            <w:bottom w:val="none" w:sz="0" w:space="0" w:color="auto"/>
            <w:right w:val="none" w:sz="0" w:space="0" w:color="auto"/>
          </w:divBdr>
        </w:div>
      </w:divsChild>
    </w:div>
    <w:div w:id="1174538580">
      <w:bodyDiv w:val="1"/>
      <w:marLeft w:val="0"/>
      <w:marRight w:val="0"/>
      <w:marTop w:val="0"/>
      <w:marBottom w:val="0"/>
      <w:divBdr>
        <w:top w:val="none" w:sz="0" w:space="0" w:color="auto"/>
        <w:left w:val="none" w:sz="0" w:space="0" w:color="auto"/>
        <w:bottom w:val="none" w:sz="0" w:space="0" w:color="auto"/>
        <w:right w:val="none" w:sz="0" w:space="0" w:color="auto"/>
      </w:divBdr>
    </w:div>
    <w:div w:id="1206987281">
      <w:bodyDiv w:val="1"/>
      <w:marLeft w:val="0"/>
      <w:marRight w:val="0"/>
      <w:marTop w:val="0"/>
      <w:marBottom w:val="0"/>
      <w:divBdr>
        <w:top w:val="none" w:sz="0" w:space="0" w:color="auto"/>
        <w:left w:val="none" w:sz="0" w:space="0" w:color="auto"/>
        <w:bottom w:val="none" w:sz="0" w:space="0" w:color="auto"/>
        <w:right w:val="none" w:sz="0" w:space="0" w:color="auto"/>
      </w:divBdr>
    </w:div>
    <w:div w:id="1330327172">
      <w:bodyDiv w:val="1"/>
      <w:marLeft w:val="0"/>
      <w:marRight w:val="0"/>
      <w:marTop w:val="0"/>
      <w:marBottom w:val="0"/>
      <w:divBdr>
        <w:top w:val="none" w:sz="0" w:space="0" w:color="auto"/>
        <w:left w:val="none" w:sz="0" w:space="0" w:color="auto"/>
        <w:bottom w:val="none" w:sz="0" w:space="0" w:color="auto"/>
        <w:right w:val="none" w:sz="0" w:space="0" w:color="auto"/>
      </w:divBdr>
    </w:div>
    <w:div w:id="1430353015">
      <w:bodyDiv w:val="1"/>
      <w:marLeft w:val="0"/>
      <w:marRight w:val="0"/>
      <w:marTop w:val="0"/>
      <w:marBottom w:val="0"/>
      <w:divBdr>
        <w:top w:val="none" w:sz="0" w:space="0" w:color="auto"/>
        <w:left w:val="none" w:sz="0" w:space="0" w:color="auto"/>
        <w:bottom w:val="none" w:sz="0" w:space="0" w:color="auto"/>
        <w:right w:val="none" w:sz="0" w:space="0" w:color="auto"/>
      </w:divBdr>
    </w:div>
    <w:div w:id="1462533711">
      <w:bodyDiv w:val="1"/>
      <w:marLeft w:val="0"/>
      <w:marRight w:val="0"/>
      <w:marTop w:val="0"/>
      <w:marBottom w:val="0"/>
      <w:divBdr>
        <w:top w:val="none" w:sz="0" w:space="0" w:color="auto"/>
        <w:left w:val="none" w:sz="0" w:space="0" w:color="auto"/>
        <w:bottom w:val="none" w:sz="0" w:space="0" w:color="auto"/>
        <w:right w:val="none" w:sz="0" w:space="0" w:color="auto"/>
      </w:divBdr>
    </w:div>
    <w:div w:id="1480607153">
      <w:bodyDiv w:val="1"/>
      <w:marLeft w:val="0"/>
      <w:marRight w:val="0"/>
      <w:marTop w:val="0"/>
      <w:marBottom w:val="0"/>
      <w:divBdr>
        <w:top w:val="none" w:sz="0" w:space="0" w:color="auto"/>
        <w:left w:val="none" w:sz="0" w:space="0" w:color="auto"/>
        <w:bottom w:val="none" w:sz="0" w:space="0" w:color="auto"/>
        <w:right w:val="none" w:sz="0" w:space="0" w:color="auto"/>
      </w:divBdr>
    </w:div>
    <w:div w:id="1581983117">
      <w:bodyDiv w:val="1"/>
      <w:marLeft w:val="0"/>
      <w:marRight w:val="0"/>
      <w:marTop w:val="0"/>
      <w:marBottom w:val="0"/>
      <w:divBdr>
        <w:top w:val="none" w:sz="0" w:space="0" w:color="auto"/>
        <w:left w:val="none" w:sz="0" w:space="0" w:color="auto"/>
        <w:bottom w:val="none" w:sz="0" w:space="0" w:color="auto"/>
        <w:right w:val="none" w:sz="0" w:space="0" w:color="auto"/>
      </w:divBdr>
    </w:div>
    <w:div w:id="1609199999">
      <w:bodyDiv w:val="1"/>
      <w:marLeft w:val="0"/>
      <w:marRight w:val="0"/>
      <w:marTop w:val="0"/>
      <w:marBottom w:val="0"/>
      <w:divBdr>
        <w:top w:val="none" w:sz="0" w:space="0" w:color="auto"/>
        <w:left w:val="none" w:sz="0" w:space="0" w:color="auto"/>
        <w:bottom w:val="none" w:sz="0" w:space="0" w:color="auto"/>
        <w:right w:val="none" w:sz="0" w:space="0" w:color="auto"/>
      </w:divBdr>
      <w:divsChild>
        <w:div w:id="55056257">
          <w:marLeft w:val="0"/>
          <w:marRight w:val="0"/>
          <w:marTop w:val="0"/>
          <w:marBottom w:val="0"/>
          <w:divBdr>
            <w:top w:val="none" w:sz="0" w:space="0" w:color="auto"/>
            <w:left w:val="none" w:sz="0" w:space="0" w:color="auto"/>
            <w:bottom w:val="none" w:sz="0" w:space="0" w:color="auto"/>
            <w:right w:val="none" w:sz="0" w:space="0" w:color="auto"/>
          </w:divBdr>
        </w:div>
        <w:div w:id="272518820">
          <w:marLeft w:val="0"/>
          <w:marRight w:val="0"/>
          <w:marTop w:val="0"/>
          <w:marBottom w:val="0"/>
          <w:divBdr>
            <w:top w:val="none" w:sz="0" w:space="0" w:color="auto"/>
            <w:left w:val="none" w:sz="0" w:space="0" w:color="auto"/>
            <w:bottom w:val="none" w:sz="0" w:space="0" w:color="auto"/>
            <w:right w:val="none" w:sz="0" w:space="0" w:color="auto"/>
          </w:divBdr>
        </w:div>
        <w:div w:id="284435084">
          <w:marLeft w:val="0"/>
          <w:marRight w:val="0"/>
          <w:marTop w:val="0"/>
          <w:marBottom w:val="0"/>
          <w:divBdr>
            <w:top w:val="none" w:sz="0" w:space="0" w:color="auto"/>
            <w:left w:val="none" w:sz="0" w:space="0" w:color="auto"/>
            <w:bottom w:val="none" w:sz="0" w:space="0" w:color="auto"/>
            <w:right w:val="none" w:sz="0" w:space="0" w:color="auto"/>
          </w:divBdr>
        </w:div>
        <w:div w:id="317462155">
          <w:marLeft w:val="0"/>
          <w:marRight w:val="0"/>
          <w:marTop w:val="0"/>
          <w:marBottom w:val="0"/>
          <w:divBdr>
            <w:top w:val="none" w:sz="0" w:space="0" w:color="auto"/>
            <w:left w:val="none" w:sz="0" w:space="0" w:color="auto"/>
            <w:bottom w:val="none" w:sz="0" w:space="0" w:color="auto"/>
            <w:right w:val="none" w:sz="0" w:space="0" w:color="auto"/>
          </w:divBdr>
        </w:div>
        <w:div w:id="381367226">
          <w:marLeft w:val="0"/>
          <w:marRight w:val="0"/>
          <w:marTop w:val="0"/>
          <w:marBottom w:val="0"/>
          <w:divBdr>
            <w:top w:val="none" w:sz="0" w:space="0" w:color="auto"/>
            <w:left w:val="none" w:sz="0" w:space="0" w:color="auto"/>
            <w:bottom w:val="none" w:sz="0" w:space="0" w:color="auto"/>
            <w:right w:val="none" w:sz="0" w:space="0" w:color="auto"/>
          </w:divBdr>
        </w:div>
        <w:div w:id="417991535">
          <w:marLeft w:val="0"/>
          <w:marRight w:val="0"/>
          <w:marTop w:val="0"/>
          <w:marBottom w:val="0"/>
          <w:divBdr>
            <w:top w:val="none" w:sz="0" w:space="0" w:color="auto"/>
            <w:left w:val="none" w:sz="0" w:space="0" w:color="auto"/>
            <w:bottom w:val="none" w:sz="0" w:space="0" w:color="auto"/>
            <w:right w:val="none" w:sz="0" w:space="0" w:color="auto"/>
          </w:divBdr>
        </w:div>
        <w:div w:id="494495343">
          <w:marLeft w:val="0"/>
          <w:marRight w:val="0"/>
          <w:marTop w:val="0"/>
          <w:marBottom w:val="0"/>
          <w:divBdr>
            <w:top w:val="none" w:sz="0" w:space="0" w:color="auto"/>
            <w:left w:val="none" w:sz="0" w:space="0" w:color="auto"/>
            <w:bottom w:val="none" w:sz="0" w:space="0" w:color="auto"/>
            <w:right w:val="none" w:sz="0" w:space="0" w:color="auto"/>
          </w:divBdr>
        </w:div>
        <w:div w:id="579218799">
          <w:marLeft w:val="0"/>
          <w:marRight w:val="0"/>
          <w:marTop w:val="0"/>
          <w:marBottom w:val="0"/>
          <w:divBdr>
            <w:top w:val="none" w:sz="0" w:space="0" w:color="auto"/>
            <w:left w:val="none" w:sz="0" w:space="0" w:color="auto"/>
            <w:bottom w:val="none" w:sz="0" w:space="0" w:color="auto"/>
            <w:right w:val="none" w:sz="0" w:space="0" w:color="auto"/>
          </w:divBdr>
        </w:div>
        <w:div w:id="760107526">
          <w:marLeft w:val="0"/>
          <w:marRight w:val="0"/>
          <w:marTop w:val="0"/>
          <w:marBottom w:val="0"/>
          <w:divBdr>
            <w:top w:val="none" w:sz="0" w:space="0" w:color="auto"/>
            <w:left w:val="none" w:sz="0" w:space="0" w:color="auto"/>
            <w:bottom w:val="none" w:sz="0" w:space="0" w:color="auto"/>
            <w:right w:val="none" w:sz="0" w:space="0" w:color="auto"/>
          </w:divBdr>
        </w:div>
        <w:div w:id="1145660880">
          <w:marLeft w:val="0"/>
          <w:marRight w:val="0"/>
          <w:marTop w:val="0"/>
          <w:marBottom w:val="0"/>
          <w:divBdr>
            <w:top w:val="none" w:sz="0" w:space="0" w:color="auto"/>
            <w:left w:val="none" w:sz="0" w:space="0" w:color="auto"/>
            <w:bottom w:val="none" w:sz="0" w:space="0" w:color="auto"/>
            <w:right w:val="none" w:sz="0" w:space="0" w:color="auto"/>
          </w:divBdr>
        </w:div>
        <w:div w:id="1392725512">
          <w:marLeft w:val="0"/>
          <w:marRight w:val="0"/>
          <w:marTop w:val="0"/>
          <w:marBottom w:val="0"/>
          <w:divBdr>
            <w:top w:val="none" w:sz="0" w:space="0" w:color="auto"/>
            <w:left w:val="none" w:sz="0" w:space="0" w:color="auto"/>
            <w:bottom w:val="none" w:sz="0" w:space="0" w:color="auto"/>
            <w:right w:val="none" w:sz="0" w:space="0" w:color="auto"/>
          </w:divBdr>
        </w:div>
        <w:div w:id="1502701948">
          <w:marLeft w:val="0"/>
          <w:marRight w:val="0"/>
          <w:marTop w:val="0"/>
          <w:marBottom w:val="0"/>
          <w:divBdr>
            <w:top w:val="none" w:sz="0" w:space="0" w:color="auto"/>
            <w:left w:val="none" w:sz="0" w:space="0" w:color="auto"/>
            <w:bottom w:val="none" w:sz="0" w:space="0" w:color="auto"/>
            <w:right w:val="none" w:sz="0" w:space="0" w:color="auto"/>
          </w:divBdr>
        </w:div>
        <w:div w:id="1588223149">
          <w:marLeft w:val="0"/>
          <w:marRight w:val="0"/>
          <w:marTop w:val="0"/>
          <w:marBottom w:val="0"/>
          <w:divBdr>
            <w:top w:val="none" w:sz="0" w:space="0" w:color="auto"/>
            <w:left w:val="none" w:sz="0" w:space="0" w:color="auto"/>
            <w:bottom w:val="none" w:sz="0" w:space="0" w:color="auto"/>
            <w:right w:val="none" w:sz="0" w:space="0" w:color="auto"/>
          </w:divBdr>
        </w:div>
        <w:div w:id="1638532168">
          <w:marLeft w:val="0"/>
          <w:marRight w:val="0"/>
          <w:marTop w:val="0"/>
          <w:marBottom w:val="0"/>
          <w:divBdr>
            <w:top w:val="none" w:sz="0" w:space="0" w:color="auto"/>
            <w:left w:val="none" w:sz="0" w:space="0" w:color="auto"/>
            <w:bottom w:val="none" w:sz="0" w:space="0" w:color="auto"/>
            <w:right w:val="none" w:sz="0" w:space="0" w:color="auto"/>
          </w:divBdr>
        </w:div>
        <w:div w:id="1774204744">
          <w:marLeft w:val="0"/>
          <w:marRight w:val="0"/>
          <w:marTop w:val="0"/>
          <w:marBottom w:val="0"/>
          <w:divBdr>
            <w:top w:val="none" w:sz="0" w:space="0" w:color="auto"/>
            <w:left w:val="none" w:sz="0" w:space="0" w:color="auto"/>
            <w:bottom w:val="none" w:sz="0" w:space="0" w:color="auto"/>
            <w:right w:val="none" w:sz="0" w:space="0" w:color="auto"/>
          </w:divBdr>
        </w:div>
        <w:div w:id="1863476894">
          <w:marLeft w:val="0"/>
          <w:marRight w:val="0"/>
          <w:marTop w:val="0"/>
          <w:marBottom w:val="0"/>
          <w:divBdr>
            <w:top w:val="none" w:sz="0" w:space="0" w:color="auto"/>
            <w:left w:val="none" w:sz="0" w:space="0" w:color="auto"/>
            <w:bottom w:val="none" w:sz="0" w:space="0" w:color="auto"/>
            <w:right w:val="none" w:sz="0" w:space="0" w:color="auto"/>
          </w:divBdr>
        </w:div>
        <w:div w:id="1863981524">
          <w:marLeft w:val="0"/>
          <w:marRight w:val="0"/>
          <w:marTop w:val="0"/>
          <w:marBottom w:val="0"/>
          <w:divBdr>
            <w:top w:val="none" w:sz="0" w:space="0" w:color="auto"/>
            <w:left w:val="none" w:sz="0" w:space="0" w:color="auto"/>
            <w:bottom w:val="none" w:sz="0" w:space="0" w:color="auto"/>
            <w:right w:val="none" w:sz="0" w:space="0" w:color="auto"/>
          </w:divBdr>
        </w:div>
        <w:div w:id="1908808502">
          <w:marLeft w:val="0"/>
          <w:marRight w:val="0"/>
          <w:marTop w:val="0"/>
          <w:marBottom w:val="0"/>
          <w:divBdr>
            <w:top w:val="none" w:sz="0" w:space="0" w:color="auto"/>
            <w:left w:val="none" w:sz="0" w:space="0" w:color="auto"/>
            <w:bottom w:val="none" w:sz="0" w:space="0" w:color="auto"/>
            <w:right w:val="none" w:sz="0" w:space="0" w:color="auto"/>
          </w:divBdr>
        </w:div>
        <w:div w:id="1965574190">
          <w:marLeft w:val="0"/>
          <w:marRight w:val="0"/>
          <w:marTop w:val="0"/>
          <w:marBottom w:val="0"/>
          <w:divBdr>
            <w:top w:val="none" w:sz="0" w:space="0" w:color="auto"/>
            <w:left w:val="none" w:sz="0" w:space="0" w:color="auto"/>
            <w:bottom w:val="none" w:sz="0" w:space="0" w:color="auto"/>
            <w:right w:val="none" w:sz="0" w:space="0" w:color="auto"/>
          </w:divBdr>
        </w:div>
      </w:divsChild>
    </w:div>
    <w:div w:id="1654679344">
      <w:bodyDiv w:val="1"/>
      <w:marLeft w:val="0"/>
      <w:marRight w:val="0"/>
      <w:marTop w:val="0"/>
      <w:marBottom w:val="0"/>
      <w:divBdr>
        <w:top w:val="none" w:sz="0" w:space="0" w:color="auto"/>
        <w:left w:val="none" w:sz="0" w:space="0" w:color="auto"/>
        <w:bottom w:val="none" w:sz="0" w:space="0" w:color="auto"/>
        <w:right w:val="none" w:sz="0" w:space="0" w:color="auto"/>
      </w:divBdr>
    </w:div>
    <w:div w:id="1787698249">
      <w:bodyDiv w:val="1"/>
      <w:marLeft w:val="0"/>
      <w:marRight w:val="0"/>
      <w:marTop w:val="0"/>
      <w:marBottom w:val="0"/>
      <w:divBdr>
        <w:top w:val="none" w:sz="0" w:space="0" w:color="auto"/>
        <w:left w:val="none" w:sz="0" w:space="0" w:color="auto"/>
        <w:bottom w:val="none" w:sz="0" w:space="0" w:color="auto"/>
        <w:right w:val="none" w:sz="0" w:space="0" w:color="auto"/>
      </w:divBdr>
    </w:div>
    <w:div w:id="1905411967">
      <w:bodyDiv w:val="1"/>
      <w:marLeft w:val="0"/>
      <w:marRight w:val="0"/>
      <w:marTop w:val="0"/>
      <w:marBottom w:val="0"/>
      <w:divBdr>
        <w:top w:val="none" w:sz="0" w:space="0" w:color="auto"/>
        <w:left w:val="none" w:sz="0" w:space="0" w:color="auto"/>
        <w:bottom w:val="none" w:sz="0" w:space="0" w:color="auto"/>
        <w:right w:val="none" w:sz="0" w:space="0" w:color="auto"/>
      </w:divBdr>
    </w:div>
    <w:div w:id="1992832215">
      <w:bodyDiv w:val="1"/>
      <w:marLeft w:val="0"/>
      <w:marRight w:val="0"/>
      <w:marTop w:val="0"/>
      <w:marBottom w:val="0"/>
      <w:divBdr>
        <w:top w:val="none" w:sz="0" w:space="0" w:color="auto"/>
        <w:left w:val="none" w:sz="0" w:space="0" w:color="auto"/>
        <w:bottom w:val="none" w:sz="0" w:space="0" w:color="auto"/>
        <w:right w:val="none" w:sz="0" w:space="0" w:color="auto"/>
      </w:divBdr>
      <w:divsChild>
        <w:div w:id="183397723">
          <w:marLeft w:val="0"/>
          <w:marRight w:val="0"/>
          <w:marTop w:val="0"/>
          <w:marBottom w:val="0"/>
          <w:divBdr>
            <w:top w:val="none" w:sz="0" w:space="0" w:color="auto"/>
            <w:left w:val="none" w:sz="0" w:space="0" w:color="auto"/>
            <w:bottom w:val="none" w:sz="0" w:space="0" w:color="auto"/>
            <w:right w:val="none" w:sz="0" w:space="0" w:color="auto"/>
          </w:divBdr>
        </w:div>
        <w:div w:id="252128751">
          <w:marLeft w:val="0"/>
          <w:marRight w:val="0"/>
          <w:marTop w:val="0"/>
          <w:marBottom w:val="0"/>
          <w:divBdr>
            <w:top w:val="none" w:sz="0" w:space="0" w:color="auto"/>
            <w:left w:val="none" w:sz="0" w:space="0" w:color="auto"/>
            <w:bottom w:val="none" w:sz="0" w:space="0" w:color="auto"/>
            <w:right w:val="none" w:sz="0" w:space="0" w:color="auto"/>
          </w:divBdr>
        </w:div>
        <w:div w:id="779496420">
          <w:marLeft w:val="0"/>
          <w:marRight w:val="0"/>
          <w:marTop w:val="0"/>
          <w:marBottom w:val="0"/>
          <w:divBdr>
            <w:top w:val="none" w:sz="0" w:space="0" w:color="auto"/>
            <w:left w:val="none" w:sz="0" w:space="0" w:color="auto"/>
            <w:bottom w:val="none" w:sz="0" w:space="0" w:color="auto"/>
            <w:right w:val="none" w:sz="0" w:space="0" w:color="auto"/>
          </w:divBdr>
        </w:div>
        <w:div w:id="785199754">
          <w:marLeft w:val="0"/>
          <w:marRight w:val="0"/>
          <w:marTop w:val="0"/>
          <w:marBottom w:val="0"/>
          <w:divBdr>
            <w:top w:val="none" w:sz="0" w:space="0" w:color="auto"/>
            <w:left w:val="none" w:sz="0" w:space="0" w:color="auto"/>
            <w:bottom w:val="none" w:sz="0" w:space="0" w:color="auto"/>
            <w:right w:val="none" w:sz="0" w:space="0" w:color="auto"/>
          </w:divBdr>
        </w:div>
        <w:div w:id="1376662522">
          <w:marLeft w:val="0"/>
          <w:marRight w:val="0"/>
          <w:marTop w:val="0"/>
          <w:marBottom w:val="0"/>
          <w:divBdr>
            <w:top w:val="none" w:sz="0" w:space="0" w:color="auto"/>
            <w:left w:val="none" w:sz="0" w:space="0" w:color="auto"/>
            <w:bottom w:val="none" w:sz="0" w:space="0" w:color="auto"/>
            <w:right w:val="none" w:sz="0" w:space="0" w:color="auto"/>
          </w:divBdr>
        </w:div>
        <w:div w:id="1390569132">
          <w:marLeft w:val="0"/>
          <w:marRight w:val="0"/>
          <w:marTop w:val="0"/>
          <w:marBottom w:val="0"/>
          <w:divBdr>
            <w:top w:val="none" w:sz="0" w:space="0" w:color="auto"/>
            <w:left w:val="none" w:sz="0" w:space="0" w:color="auto"/>
            <w:bottom w:val="none" w:sz="0" w:space="0" w:color="auto"/>
            <w:right w:val="none" w:sz="0" w:space="0" w:color="auto"/>
          </w:divBdr>
        </w:div>
        <w:div w:id="1517503468">
          <w:marLeft w:val="0"/>
          <w:marRight w:val="0"/>
          <w:marTop w:val="0"/>
          <w:marBottom w:val="0"/>
          <w:divBdr>
            <w:top w:val="none" w:sz="0" w:space="0" w:color="auto"/>
            <w:left w:val="none" w:sz="0" w:space="0" w:color="auto"/>
            <w:bottom w:val="none" w:sz="0" w:space="0" w:color="auto"/>
            <w:right w:val="none" w:sz="0" w:space="0" w:color="auto"/>
          </w:divBdr>
        </w:div>
        <w:div w:id="1525636068">
          <w:marLeft w:val="0"/>
          <w:marRight w:val="0"/>
          <w:marTop w:val="0"/>
          <w:marBottom w:val="0"/>
          <w:divBdr>
            <w:top w:val="none" w:sz="0" w:space="0" w:color="auto"/>
            <w:left w:val="none" w:sz="0" w:space="0" w:color="auto"/>
            <w:bottom w:val="none" w:sz="0" w:space="0" w:color="auto"/>
            <w:right w:val="none" w:sz="0" w:space="0" w:color="auto"/>
          </w:divBdr>
        </w:div>
        <w:div w:id="1628853750">
          <w:marLeft w:val="0"/>
          <w:marRight w:val="0"/>
          <w:marTop w:val="0"/>
          <w:marBottom w:val="0"/>
          <w:divBdr>
            <w:top w:val="none" w:sz="0" w:space="0" w:color="auto"/>
            <w:left w:val="none" w:sz="0" w:space="0" w:color="auto"/>
            <w:bottom w:val="none" w:sz="0" w:space="0" w:color="auto"/>
            <w:right w:val="none" w:sz="0" w:space="0" w:color="auto"/>
          </w:divBdr>
        </w:div>
        <w:div w:id="1735935150">
          <w:marLeft w:val="0"/>
          <w:marRight w:val="0"/>
          <w:marTop w:val="0"/>
          <w:marBottom w:val="0"/>
          <w:divBdr>
            <w:top w:val="none" w:sz="0" w:space="0" w:color="auto"/>
            <w:left w:val="none" w:sz="0" w:space="0" w:color="auto"/>
            <w:bottom w:val="none" w:sz="0" w:space="0" w:color="auto"/>
            <w:right w:val="none" w:sz="0" w:space="0" w:color="auto"/>
          </w:divBdr>
        </w:div>
        <w:div w:id="1756316619">
          <w:marLeft w:val="0"/>
          <w:marRight w:val="0"/>
          <w:marTop w:val="0"/>
          <w:marBottom w:val="0"/>
          <w:divBdr>
            <w:top w:val="none" w:sz="0" w:space="0" w:color="auto"/>
            <w:left w:val="none" w:sz="0" w:space="0" w:color="auto"/>
            <w:bottom w:val="none" w:sz="0" w:space="0" w:color="auto"/>
            <w:right w:val="none" w:sz="0" w:space="0" w:color="auto"/>
          </w:divBdr>
        </w:div>
        <w:div w:id="1805731608">
          <w:marLeft w:val="0"/>
          <w:marRight w:val="0"/>
          <w:marTop w:val="0"/>
          <w:marBottom w:val="0"/>
          <w:divBdr>
            <w:top w:val="none" w:sz="0" w:space="0" w:color="auto"/>
            <w:left w:val="none" w:sz="0" w:space="0" w:color="auto"/>
            <w:bottom w:val="none" w:sz="0" w:space="0" w:color="auto"/>
            <w:right w:val="none" w:sz="0" w:space="0" w:color="auto"/>
          </w:divBdr>
        </w:div>
        <w:div w:id="1815297758">
          <w:marLeft w:val="0"/>
          <w:marRight w:val="0"/>
          <w:marTop w:val="0"/>
          <w:marBottom w:val="0"/>
          <w:divBdr>
            <w:top w:val="none" w:sz="0" w:space="0" w:color="auto"/>
            <w:left w:val="none" w:sz="0" w:space="0" w:color="auto"/>
            <w:bottom w:val="none" w:sz="0" w:space="0" w:color="auto"/>
            <w:right w:val="none" w:sz="0" w:space="0" w:color="auto"/>
          </w:divBdr>
        </w:div>
        <w:div w:id="1830320794">
          <w:marLeft w:val="0"/>
          <w:marRight w:val="0"/>
          <w:marTop w:val="0"/>
          <w:marBottom w:val="0"/>
          <w:divBdr>
            <w:top w:val="none" w:sz="0" w:space="0" w:color="auto"/>
            <w:left w:val="none" w:sz="0" w:space="0" w:color="auto"/>
            <w:bottom w:val="none" w:sz="0" w:space="0" w:color="auto"/>
            <w:right w:val="none" w:sz="0" w:space="0" w:color="auto"/>
          </w:divBdr>
        </w:div>
        <w:div w:id="1847792961">
          <w:marLeft w:val="0"/>
          <w:marRight w:val="0"/>
          <w:marTop w:val="0"/>
          <w:marBottom w:val="0"/>
          <w:divBdr>
            <w:top w:val="none" w:sz="0" w:space="0" w:color="auto"/>
            <w:left w:val="none" w:sz="0" w:space="0" w:color="auto"/>
            <w:bottom w:val="none" w:sz="0" w:space="0" w:color="auto"/>
            <w:right w:val="none" w:sz="0" w:space="0" w:color="auto"/>
          </w:divBdr>
        </w:div>
        <w:div w:id="2052457666">
          <w:marLeft w:val="0"/>
          <w:marRight w:val="0"/>
          <w:marTop w:val="0"/>
          <w:marBottom w:val="0"/>
          <w:divBdr>
            <w:top w:val="none" w:sz="0" w:space="0" w:color="auto"/>
            <w:left w:val="none" w:sz="0" w:space="0" w:color="auto"/>
            <w:bottom w:val="none" w:sz="0" w:space="0" w:color="auto"/>
            <w:right w:val="none" w:sz="0" w:space="0" w:color="auto"/>
          </w:divBdr>
        </w:div>
        <w:div w:id="2141000057">
          <w:marLeft w:val="0"/>
          <w:marRight w:val="0"/>
          <w:marTop w:val="0"/>
          <w:marBottom w:val="0"/>
          <w:divBdr>
            <w:top w:val="none" w:sz="0" w:space="0" w:color="auto"/>
            <w:left w:val="none" w:sz="0" w:space="0" w:color="auto"/>
            <w:bottom w:val="none" w:sz="0" w:space="0" w:color="auto"/>
            <w:right w:val="none" w:sz="0" w:space="0" w:color="auto"/>
          </w:divBdr>
        </w:div>
      </w:divsChild>
    </w:div>
    <w:div w:id="2001613664">
      <w:bodyDiv w:val="1"/>
      <w:marLeft w:val="0"/>
      <w:marRight w:val="0"/>
      <w:marTop w:val="0"/>
      <w:marBottom w:val="0"/>
      <w:divBdr>
        <w:top w:val="none" w:sz="0" w:space="0" w:color="auto"/>
        <w:left w:val="none" w:sz="0" w:space="0" w:color="auto"/>
        <w:bottom w:val="none" w:sz="0" w:space="0" w:color="auto"/>
        <w:right w:val="none" w:sz="0" w:space="0" w:color="auto"/>
      </w:divBdr>
    </w:div>
    <w:div w:id="2053384842">
      <w:bodyDiv w:val="1"/>
      <w:marLeft w:val="0"/>
      <w:marRight w:val="0"/>
      <w:marTop w:val="0"/>
      <w:marBottom w:val="0"/>
      <w:divBdr>
        <w:top w:val="none" w:sz="0" w:space="0" w:color="auto"/>
        <w:left w:val="none" w:sz="0" w:space="0" w:color="auto"/>
        <w:bottom w:val="none" w:sz="0" w:space="0" w:color="auto"/>
        <w:right w:val="none" w:sz="0" w:space="0" w:color="auto"/>
      </w:divBdr>
      <w:divsChild>
        <w:div w:id="401758291">
          <w:marLeft w:val="0"/>
          <w:marRight w:val="0"/>
          <w:marTop w:val="0"/>
          <w:marBottom w:val="0"/>
          <w:divBdr>
            <w:top w:val="none" w:sz="0" w:space="0" w:color="auto"/>
            <w:left w:val="none" w:sz="0" w:space="0" w:color="auto"/>
            <w:bottom w:val="none" w:sz="0" w:space="0" w:color="auto"/>
            <w:right w:val="none" w:sz="0" w:space="0" w:color="auto"/>
          </w:divBdr>
        </w:div>
      </w:divsChild>
    </w:div>
    <w:div w:id="2096585941">
      <w:bodyDiv w:val="1"/>
      <w:marLeft w:val="0"/>
      <w:marRight w:val="0"/>
      <w:marTop w:val="0"/>
      <w:marBottom w:val="0"/>
      <w:divBdr>
        <w:top w:val="none" w:sz="0" w:space="0" w:color="auto"/>
        <w:left w:val="none" w:sz="0" w:space="0" w:color="auto"/>
        <w:bottom w:val="none" w:sz="0" w:space="0" w:color="auto"/>
        <w:right w:val="none" w:sz="0" w:space="0" w:color="auto"/>
      </w:divBdr>
      <w:divsChild>
        <w:div w:id="823279730">
          <w:marLeft w:val="0"/>
          <w:marRight w:val="0"/>
          <w:marTop w:val="0"/>
          <w:marBottom w:val="0"/>
          <w:divBdr>
            <w:top w:val="none" w:sz="0" w:space="0" w:color="auto"/>
            <w:left w:val="none" w:sz="0" w:space="0" w:color="auto"/>
            <w:bottom w:val="none" w:sz="0" w:space="0" w:color="auto"/>
            <w:right w:val="none" w:sz="0" w:space="0" w:color="auto"/>
          </w:divBdr>
        </w:div>
      </w:divsChild>
    </w:div>
    <w:div w:id="2112125676">
      <w:bodyDiv w:val="1"/>
      <w:marLeft w:val="0"/>
      <w:marRight w:val="0"/>
      <w:marTop w:val="0"/>
      <w:marBottom w:val="0"/>
      <w:divBdr>
        <w:top w:val="none" w:sz="0" w:space="0" w:color="auto"/>
        <w:left w:val="none" w:sz="0" w:space="0" w:color="auto"/>
        <w:bottom w:val="none" w:sz="0" w:space="0" w:color="auto"/>
        <w:right w:val="none" w:sz="0" w:space="0" w:color="auto"/>
      </w:divBdr>
    </w:div>
    <w:div w:id="2119179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fire-safet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SharingLinks.1b5f8115-154b-40a6-a4b3-2aadb4dc6aeb.OrganizationView.3865d7c4-4d52-4a2c-8baf-dd26655c454e</DisplayName>
        <AccountId>512</AccountId>
        <AccountType/>
      </UserInfo>
      <UserInfo>
        <DisplayName>SharingLinks.276c8cfa-4f98-41a4-a54b-4b73f7be3556.OrganizationView.d1d5ef66-917b-4b81-9159-b6a7b4e4f0fa</DisplayName>
        <AccountId>164</AccountId>
        <AccountType/>
      </UserInfo>
      <UserInfo>
        <DisplayName>Steve Hamm</DisplayName>
        <AccountId>376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5681-8AAF-4BE6-98B8-AA161796A89B}">
  <ds:schemaRefs>
    <ds:schemaRef ds:uri="http://schemas.microsoft.com/office/infopath/2007/PartnerControls"/>
    <ds:schemaRef ds:uri="36f666af-c1f7-41bf-aa8d-09e75bf390e0"/>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260551db-00be-4bbc-8c7a-03e783dddd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8823E7-7CA7-4337-B43B-65F841001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A44C0-15D1-42E3-95BF-2835155ED785}">
  <ds:schemaRefs>
    <ds:schemaRef ds:uri="http://schemas.microsoft.com/sharepoint/v3/contenttype/forms"/>
  </ds:schemaRefs>
</ds:datastoreItem>
</file>

<file path=customXml/itemProps4.xml><?xml version="1.0" encoding="utf-8"?>
<ds:datastoreItem xmlns:ds="http://schemas.openxmlformats.org/officeDocument/2006/customXml" ds:itemID="{C746721E-6FB9-4752-B3F9-A73CD52B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Document text here</vt:lpstr>
    </vt:vector>
  </TitlesOfParts>
  <Company>CFOA</Company>
  <LinksUpToDate>false</LinksUpToDate>
  <CharactersWithSpaces>12727</CharactersWithSpaces>
  <SharedDoc>false</SharedDoc>
  <HyperlinkBase/>
  <HLinks>
    <vt:vector size="42" baseType="variant">
      <vt:variant>
        <vt:i4>131167</vt:i4>
      </vt:variant>
      <vt:variant>
        <vt:i4>24</vt:i4>
      </vt:variant>
      <vt:variant>
        <vt:i4>0</vt:i4>
      </vt:variant>
      <vt:variant>
        <vt:i4>5</vt:i4>
      </vt:variant>
      <vt:variant>
        <vt:lpwstr>https://www.nationalfirechiefs.org.uk/Procurement</vt:lpwstr>
      </vt:variant>
      <vt:variant>
        <vt:lpwstr/>
      </vt:variant>
      <vt:variant>
        <vt:i4>524382</vt:i4>
      </vt:variant>
      <vt:variant>
        <vt:i4>21</vt:i4>
      </vt:variant>
      <vt:variant>
        <vt:i4>0</vt:i4>
      </vt:variant>
      <vt:variant>
        <vt:i4>5</vt:i4>
      </vt:variant>
      <vt:variant>
        <vt:lpwstr>https://hansard.parliament.uk/commons/2019-09-05/debates/59D5871C-235C-41D2-94DB-F3AAE4D4FA86/BuildingSafety</vt:lpwstr>
      </vt:variant>
      <vt:variant>
        <vt:lpwstr/>
      </vt:variant>
      <vt:variant>
        <vt:i4>4390936</vt:i4>
      </vt:variant>
      <vt:variant>
        <vt:i4>18</vt:i4>
      </vt:variant>
      <vt:variant>
        <vt:i4>0</vt:i4>
      </vt:variant>
      <vt:variant>
        <vt:i4>5</vt:i4>
      </vt:variant>
      <vt:variant>
        <vt:lpwstr>https://www.gov.uk/government/consultations/building-a-safer-future-proposals-for-reform-of-the-building-safety-regulatory-system?utm_source=a29a38fa-9164-4aaf-8a3c-241d686ba993&amp;utm_medium=email&amp;utm_campaign=govuk-notifications&amp;utm_content=immediatehttps://www.gov.uk/government/consultations/building-a-safer-future-proposals-for-reform-of-the-building-safety-regulatory-system?utm_source=a29a38fa-9164-4aaf-8a3c-241d686ba993&amp;utm_medium=email&amp;utm_campaign=govuk-notifications&amp;utm_content=immediate</vt:lpwstr>
      </vt:variant>
      <vt:variant>
        <vt:lpwstr/>
      </vt:variant>
      <vt:variant>
        <vt:i4>8060991</vt:i4>
      </vt:variant>
      <vt:variant>
        <vt:i4>15</vt:i4>
      </vt:variant>
      <vt:variant>
        <vt:i4>0</vt:i4>
      </vt:variant>
      <vt:variant>
        <vt:i4>5</vt:i4>
      </vt:variant>
      <vt:variant>
        <vt:lpwstr>https://www.gov.uk/government/consultations/the-regulatory-reform-fire-safety-order-2005-call-for-evidence</vt:lpwstr>
      </vt:variant>
      <vt:variant>
        <vt:lpwstr/>
      </vt:variant>
      <vt:variant>
        <vt:i4>3735612</vt:i4>
      </vt:variant>
      <vt:variant>
        <vt:i4>12</vt:i4>
      </vt:variant>
      <vt:variant>
        <vt:i4>0</vt:i4>
      </vt:variant>
      <vt:variant>
        <vt:i4>5</vt:i4>
      </vt:variant>
      <vt:variant>
        <vt:lpwstr>https://committees.parliament.uk/work/361/prelegislative-scrutiny-of-the-building-safety-bill/</vt:lpwstr>
      </vt:variant>
      <vt:variant>
        <vt:lpwstr/>
      </vt:variant>
      <vt:variant>
        <vt:i4>1114183</vt:i4>
      </vt:variant>
      <vt:variant>
        <vt:i4>9</vt:i4>
      </vt:variant>
      <vt:variant>
        <vt:i4>0</vt:i4>
      </vt:variant>
      <vt:variant>
        <vt:i4>5</vt:i4>
      </vt:variant>
      <vt:variant>
        <vt:lpwstr>https://www.gov.uk/government/publications/draft-building-safety-bill</vt:lpwstr>
      </vt:variant>
      <vt:variant>
        <vt:lpwstr/>
      </vt:variant>
      <vt:variant>
        <vt:i4>7929895</vt:i4>
      </vt:variant>
      <vt:variant>
        <vt:i4>6</vt:i4>
      </vt:variant>
      <vt:variant>
        <vt:i4>0</vt:i4>
      </vt:variant>
      <vt:variant>
        <vt:i4>5</vt:i4>
      </vt:variant>
      <vt:variant>
        <vt:lpwstr>https://www.gov.uk/government/consultations/fire-safety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Tony Lockyer</dc:creator>
  <cp:keywords/>
  <cp:lastModifiedBy>Jonathan Bryant</cp:lastModifiedBy>
  <cp:revision>2</cp:revision>
  <cp:lastPrinted>2020-02-29T18:29:00Z</cp:lastPrinted>
  <dcterms:created xsi:type="dcterms:W3CDTF">2020-10-09T10:05:00Z</dcterms:created>
  <dcterms:modified xsi:type="dcterms:W3CDTF">2020-10-09T10:05:00Z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AuthorIds_UIVersion_1024">
    <vt:lpwstr>254</vt:lpwstr>
  </property>
</Properties>
</file>